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7A4B" w14:textId="1D3B4204" w:rsidR="00F96DBD" w:rsidRPr="004E7643" w:rsidRDefault="00F96DBD" w:rsidP="00F96DBD">
      <w:pPr>
        <w:rPr>
          <w:rFonts w:ascii="仿宋" w:eastAsia="仿宋" w:hAnsi="仿宋"/>
        </w:rPr>
      </w:pPr>
      <w:r w:rsidRPr="004E7643">
        <w:rPr>
          <w:rFonts w:ascii="仿宋" w:eastAsia="仿宋" w:hAnsi="仿宋" w:hint="eastAsia"/>
        </w:rPr>
        <w:t>附件</w:t>
      </w:r>
      <w:r w:rsidR="00983592">
        <w:rPr>
          <w:rFonts w:ascii="仿宋" w:eastAsia="仿宋" w:hAnsi="仿宋"/>
        </w:rPr>
        <w:t>1</w:t>
      </w:r>
      <w:r w:rsidRPr="004E7643">
        <w:rPr>
          <w:rFonts w:ascii="仿宋" w:eastAsia="仿宋" w:hAnsi="仿宋" w:hint="eastAsia"/>
        </w:rPr>
        <w:t>：</w:t>
      </w:r>
    </w:p>
    <w:p w14:paraId="79DB6689" w14:textId="77777777" w:rsidR="00F96DBD" w:rsidRPr="004E7643" w:rsidRDefault="00F96DBD" w:rsidP="00F96DBD">
      <w:pPr>
        <w:rPr>
          <w:rFonts w:ascii="仿宋" w:eastAsia="仿宋" w:hAnsi="仿宋"/>
        </w:rPr>
      </w:pPr>
    </w:p>
    <w:p w14:paraId="70F9870F" w14:textId="77777777" w:rsidR="00F96DBD" w:rsidRPr="00105C96" w:rsidRDefault="00F96DBD" w:rsidP="00F96DBD">
      <w:pPr>
        <w:widowControl/>
        <w:shd w:val="clear" w:color="auto" w:fill="FFFFFF"/>
        <w:jc w:val="center"/>
        <w:textAlignment w:val="baseline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105C96">
        <w:rPr>
          <w:rFonts w:ascii="方正小标宋_GBK" w:eastAsia="方正小标宋_GBK" w:hAnsi="微软雅黑" w:cs="宋体" w:hint="eastAsia"/>
          <w:kern w:val="0"/>
          <w:sz w:val="44"/>
          <w:szCs w:val="44"/>
        </w:rPr>
        <w:t>许昌市</w:t>
      </w:r>
      <w:proofErr w:type="gramStart"/>
      <w:r w:rsidRPr="00105C96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建安区</w:t>
      </w:r>
      <w:proofErr w:type="gramEnd"/>
      <w:r w:rsidRPr="00105C96">
        <w:rPr>
          <w:rFonts w:ascii="方正小标宋_GBK" w:eastAsia="方正小标宋_GBK" w:hAnsi="微软雅黑" w:cs="宋体" w:hint="eastAsia"/>
          <w:kern w:val="0"/>
          <w:sz w:val="44"/>
          <w:szCs w:val="44"/>
        </w:rPr>
        <w:t>烟草制品零售点测量办法</w:t>
      </w:r>
    </w:p>
    <w:p w14:paraId="2FBF3CDE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一、申请点与参照零售点间隔距离的测量标准：</w:t>
      </w:r>
    </w:p>
    <w:p w14:paraId="568ED236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Cs w:val="32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1.申请点与参照零售点同侧的，按申请点至零售点可通行的直线最短距离测量：</w:t>
      </w:r>
    </w:p>
    <w:p w14:paraId="402338FC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536BF6">
        <w:rPr>
          <w:rFonts w:ascii="仿宋" w:eastAsia="仿宋" w:hAnsi="仿宋" w:cs="宋体"/>
          <w:kern w:val="0"/>
          <w:sz w:val="27"/>
          <w:szCs w:val="27"/>
        </w:rPr>
        <w:t xml:space="preserve"> </w:t>
      </w:r>
      <w:r w:rsidRPr="00536BF6">
        <w:rPr>
          <w:rFonts w:ascii="仿宋" w:eastAsia="仿宋" w:hAnsi="仿宋" w:cs="宋体"/>
          <w:noProof/>
          <w:kern w:val="0"/>
          <w:sz w:val="20"/>
          <w:szCs w:val="20"/>
        </w:rPr>
        <w:drawing>
          <wp:inline distT="0" distB="0" distL="0" distR="0" wp14:anchorId="16E1C55C" wp14:editId="6E5D18C3">
            <wp:extent cx="3933825" cy="1424479"/>
            <wp:effectExtent l="0" t="0" r="0" b="0"/>
            <wp:docPr id="1" name="图片 1" descr="http://www.nygzgq.gov.cn/wcm.files/upload/CMSnygzgq/202108/202108121005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nygzgq.gov.cn/wcm.files/upload/CMSnygzgq/202108/2021081210050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1837" cy="145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DED72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2.申请点与参照零售点不同侧的，按申请点至零售点可通行的直线最短距离测量：</w:t>
      </w:r>
    </w:p>
    <w:p w14:paraId="229AF659" w14:textId="77777777" w:rsidR="00F96DBD" w:rsidRPr="00536BF6" w:rsidRDefault="00F96DBD" w:rsidP="00F96DBD">
      <w:pPr>
        <w:widowControl/>
        <w:shd w:val="clear" w:color="auto" w:fill="FFFFFF"/>
        <w:ind w:firstLineChars="650" w:firstLine="130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0"/>
          <w:szCs w:val="20"/>
        </w:rPr>
        <w:drawing>
          <wp:inline distT="0" distB="0" distL="0" distR="0" wp14:anchorId="048BDAFB" wp14:editId="045C7ADF">
            <wp:extent cx="3857625" cy="1711417"/>
            <wp:effectExtent l="0" t="0" r="0" b="0"/>
            <wp:docPr id="2" name="图片 2" descr="http://www.nygzgq.gov.cn/wcm.files/upload/CMSnygzgq/202108/202108121006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nygzgq.gov.cn/wcm.files/upload/CMSnygzgq/202108/20210812100600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578" cy="17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97632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3.两侧设有隔离护栏、护墙，花坛、花园的(且不可通行的)，按申请点与参照零售点之间的步行最短距离测量：</w:t>
      </w:r>
    </w:p>
    <w:p w14:paraId="7068290A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0"/>
          <w:szCs w:val="20"/>
        </w:rPr>
        <w:lastRenderedPageBreak/>
        <w:drawing>
          <wp:inline distT="0" distB="0" distL="0" distR="0" wp14:anchorId="6AE26C84" wp14:editId="0B69E3F1">
            <wp:extent cx="3867036" cy="1939925"/>
            <wp:effectExtent l="0" t="0" r="0" b="0"/>
            <wp:docPr id="3" name="图片 3" descr="http://www.nygzgq.gov.cn/wcm.files/upload/CMSnygzgq/202108/202108121006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nygzgq.gov.cn/wcm.files/upload/CMSnygzgq/202108/2021081210060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5398" cy="198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B4C68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4.申请点与参照零售点成直角或圆角或弧形的，应贴近墙角按可通行的最短距离测量：</w:t>
      </w:r>
    </w:p>
    <w:p w14:paraId="51AF21A6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0"/>
          <w:szCs w:val="20"/>
        </w:rPr>
        <w:drawing>
          <wp:inline distT="0" distB="0" distL="0" distR="0" wp14:anchorId="785A3BE3" wp14:editId="38B85B2B">
            <wp:extent cx="3931556" cy="1819275"/>
            <wp:effectExtent l="0" t="0" r="0" b="0"/>
            <wp:docPr id="4" name="图片 4" descr="http://www.nygzgq.gov.cn/wcm.files/upload/CMSnygzgq/202108/202108121006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nygzgq.gov.cn/wcm.files/upload/CMSnygzgq/202108/2021081210060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5989" cy="185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ABE69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5.申请点与参照零售点属前后楼房的，如有后门可通行的，按后门可通行的最短距离测量：</w:t>
      </w:r>
    </w:p>
    <w:p w14:paraId="1F57AB92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0"/>
          <w:szCs w:val="20"/>
        </w:rPr>
        <w:drawing>
          <wp:inline distT="0" distB="0" distL="0" distR="0" wp14:anchorId="138E4316" wp14:editId="53B05AE3">
            <wp:extent cx="2076450" cy="2631227"/>
            <wp:effectExtent l="0" t="0" r="0" b="0"/>
            <wp:docPr id="5" name="图片 5" descr="http://www.nygzgq.gov.cn/wcm.files/upload/CMSnygzgq/202108/202108121006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nygzgq.gov.cn/wcm.files/upload/CMSnygzgq/202108/20210812100603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186" cy="26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DC953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lastRenderedPageBreak/>
        <w:t>6.申请点位置位于十字路口的，且参照零售点位于对面的，按可通行的最短距离测量：</w:t>
      </w:r>
    </w:p>
    <w:p w14:paraId="06011AFF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2F9BA3A3" wp14:editId="00E170A5">
            <wp:extent cx="2781300" cy="2265271"/>
            <wp:effectExtent l="0" t="0" r="0" b="0"/>
            <wp:docPr id="6" name="图片 6" descr="http://www.nygzgq.gov.cn/wcm.files/upload/CMSnygzgq/202108/202108121006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nygzgq.gov.cn/wcm.files/upload/CMSnygzgq/202108/20210812100605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356" cy="23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F6">
        <w:rPr>
          <w:rFonts w:ascii="Calibri" w:eastAsia="仿宋" w:hAnsi="Calibri"/>
          <w:kern w:val="0"/>
          <w:sz w:val="28"/>
          <w:szCs w:val="28"/>
        </w:rPr>
        <w:t> </w:t>
      </w:r>
    </w:p>
    <w:p w14:paraId="737551B2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7.申请点位置位于十字路口且与参照零售点呈对角的，以最近一侧有门的内侧距离测量：</w:t>
      </w:r>
    </w:p>
    <w:p w14:paraId="76CC13AD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63AB27E8" wp14:editId="3826D170">
            <wp:extent cx="2838450" cy="2311820"/>
            <wp:effectExtent l="0" t="0" r="0" b="0"/>
            <wp:docPr id="7" name="图片 7" descr="http://www.nygzgq.gov.cn/wcm.files/upload/CMSnygzgq/202108/202108121007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nygzgq.gov.cn/wcm.files/upload/CMSnygzgq/202108/20210812100700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980" cy="236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F6">
        <w:rPr>
          <w:rFonts w:ascii="Calibri" w:eastAsia="仿宋" w:hAnsi="Calibri"/>
          <w:kern w:val="0"/>
          <w:sz w:val="28"/>
          <w:szCs w:val="28"/>
        </w:rPr>
        <w:t> </w:t>
      </w:r>
    </w:p>
    <w:p w14:paraId="0E1BD819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8.申请点位置位于十字路口且与参照零售点之间有红绿灯的，并必须按要求以斑马线行走的，可沿斑马线行进的最短距离测量：</w:t>
      </w:r>
    </w:p>
    <w:p w14:paraId="5D3E017C" w14:textId="77777777" w:rsidR="00F96DBD" w:rsidRPr="00536BF6" w:rsidRDefault="00F96DBD" w:rsidP="00F96DBD">
      <w:pPr>
        <w:widowControl/>
        <w:shd w:val="clear" w:color="auto" w:fill="FFFFFF"/>
        <w:jc w:val="center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 wp14:anchorId="443D990B" wp14:editId="0A250F4B">
            <wp:extent cx="2819400" cy="2049576"/>
            <wp:effectExtent l="0" t="0" r="0" b="0"/>
            <wp:docPr id="8" name="图片 8" descr="http://www.nygzgq.gov.cn/wcm.files/upload/CMSnygzgq/202108/202108121007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www.nygzgq.gov.cn/wcm.files/upload/CMSnygzgq/202108/20210812100701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121" cy="208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F6">
        <w:rPr>
          <w:rFonts w:ascii="Calibri" w:eastAsia="仿宋" w:hAnsi="Calibri"/>
          <w:kern w:val="0"/>
          <w:sz w:val="28"/>
          <w:szCs w:val="28"/>
        </w:rPr>
        <w:t> </w:t>
      </w:r>
    </w:p>
    <w:p w14:paraId="2ECBDA0C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二、其他特殊道路情况的测量，按照可通行的最短距离测量。</w:t>
      </w:r>
    </w:p>
    <w:p w14:paraId="5D78DCB1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三、测量距离时，以参照零售点通行</w:t>
      </w:r>
      <w:proofErr w:type="gramStart"/>
      <w:r w:rsidRPr="00536BF6">
        <w:rPr>
          <w:rFonts w:ascii="仿宋" w:eastAsia="仿宋" w:hAnsi="仿宋" w:cs="宋体" w:hint="eastAsia"/>
          <w:kern w:val="0"/>
          <w:szCs w:val="32"/>
        </w:rPr>
        <w:t>口最近</w:t>
      </w:r>
      <w:proofErr w:type="gramEnd"/>
      <w:r w:rsidRPr="00536BF6">
        <w:rPr>
          <w:rFonts w:ascii="仿宋" w:eastAsia="仿宋" w:hAnsi="仿宋" w:cs="宋体" w:hint="eastAsia"/>
          <w:kern w:val="0"/>
          <w:szCs w:val="32"/>
        </w:rPr>
        <w:t>的边或角为起始点，申请点通行</w:t>
      </w:r>
      <w:proofErr w:type="gramStart"/>
      <w:r w:rsidRPr="00536BF6">
        <w:rPr>
          <w:rFonts w:ascii="仿宋" w:eastAsia="仿宋" w:hAnsi="仿宋" w:cs="宋体" w:hint="eastAsia"/>
          <w:kern w:val="0"/>
          <w:szCs w:val="32"/>
        </w:rPr>
        <w:t>口最近</w:t>
      </w:r>
      <w:proofErr w:type="gramEnd"/>
      <w:r w:rsidRPr="00536BF6">
        <w:rPr>
          <w:rFonts w:ascii="仿宋" w:eastAsia="仿宋" w:hAnsi="仿宋" w:cs="宋体" w:hint="eastAsia"/>
          <w:kern w:val="0"/>
          <w:szCs w:val="32"/>
        </w:rPr>
        <w:t>的边或角为终点，按可通行的线路测量。如果零售点或申请点有多个通行口的，以相对于两者之间最近的边或角为测量点。</w:t>
      </w:r>
    </w:p>
    <w:p w14:paraId="00B76672" w14:textId="77777777" w:rsidR="00F96DBD" w:rsidRPr="00536BF6" w:rsidRDefault="00F96DBD" w:rsidP="00F96DBD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宋体"/>
          <w:kern w:val="0"/>
          <w:sz w:val="27"/>
          <w:szCs w:val="27"/>
        </w:rPr>
      </w:pPr>
      <w:r w:rsidRPr="00536BF6">
        <w:rPr>
          <w:rFonts w:ascii="仿宋" w:eastAsia="仿宋" w:hAnsi="仿宋" w:cs="宋体" w:hint="eastAsia"/>
          <w:kern w:val="0"/>
          <w:szCs w:val="32"/>
        </w:rPr>
        <w:t>四、本测量办法由许昌市</w:t>
      </w:r>
      <w:proofErr w:type="gramStart"/>
      <w:r w:rsidRPr="00536BF6">
        <w:rPr>
          <w:rFonts w:ascii="仿宋" w:eastAsia="仿宋" w:hAnsi="仿宋" w:cs="宋体" w:hint="eastAsia"/>
          <w:kern w:val="0"/>
          <w:szCs w:val="32"/>
        </w:rPr>
        <w:t>建安区</w:t>
      </w:r>
      <w:proofErr w:type="gramEnd"/>
      <w:r w:rsidRPr="00536BF6">
        <w:rPr>
          <w:rFonts w:ascii="仿宋" w:eastAsia="仿宋" w:hAnsi="仿宋" w:cs="宋体" w:hint="eastAsia"/>
          <w:kern w:val="0"/>
          <w:szCs w:val="32"/>
        </w:rPr>
        <w:t>烟草专卖局负责解释。</w:t>
      </w:r>
      <w:proofErr w:type="gramStart"/>
      <w:r w:rsidRPr="00536BF6">
        <w:rPr>
          <w:rFonts w:ascii="仿宋" w:eastAsia="仿宋" w:hAnsi="仿宋" w:cs="宋体" w:hint="eastAsia"/>
          <w:kern w:val="0"/>
          <w:szCs w:val="32"/>
        </w:rPr>
        <w:t>如遇本办法</w:t>
      </w:r>
      <w:proofErr w:type="gramEnd"/>
      <w:r w:rsidRPr="00536BF6">
        <w:rPr>
          <w:rFonts w:ascii="仿宋" w:eastAsia="仿宋" w:hAnsi="仿宋" w:cs="宋体" w:hint="eastAsia"/>
          <w:kern w:val="0"/>
          <w:szCs w:val="32"/>
        </w:rPr>
        <w:t>未明确测量方法的特殊情形时，其测量方法由许昌市</w:t>
      </w:r>
      <w:proofErr w:type="gramStart"/>
      <w:r w:rsidRPr="00536BF6">
        <w:rPr>
          <w:rFonts w:ascii="仿宋" w:eastAsia="仿宋" w:hAnsi="仿宋" w:cs="宋体" w:hint="eastAsia"/>
          <w:kern w:val="0"/>
          <w:szCs w:val="32"/>
        </w:rPr>
        <w:t>建安区</w:t>
      </w:r>
      <w:proofErr w:type="gramEnd"/>
      <w:r w:rsidRPr="00536BF6">
        <w:rPr>
          <w:rFonts w:ascii="仿宋" w:eastAsia="仿宋" w:hAnsi="仿宋" w:cs="宋体" w:hint="eastAsia"/>
          <w:kern w:val="0"/>
          <w:szCs w:val="32"/>
        </w:rPr>
        <w:t>烟草专卖局确定。</w:t>
      </w:r>
    </w:p>
    <w:p w14:paraId="0A65C976" w14:textId="77777777" w:rsidR="00580471" w:rsidRPr="00F96DBD" w:rsidRDefault="00580471">
      <w:bookmarkStart w:id="0" w:name="_GoBack"/>
      <w:bookmarkEnd w:id="0"/>
    </w:p>
    <w:sectPr w:rsidR="00580471" w:rsidRPr="00F96DBD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6F4E" w14:textId="77777777" w:rsidR="002B4990" w:rsidRDefault="002B4990" w:rsidP="00F96DBD">
      <w:r>
        <w:separator/>
      </w:r>
    </w:p>
  </w:endnote>
  <w:endnote w:type="continuationSeparator" w:id="0">
    <w:p w14:paraId="51F8C013" w14:textId="77777777" w:rsidR="002B4990" w:rsidRDefault="002B4990" w:rsidP="00F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63900"/>
    </w:sdtPr>
    <w:sdtEndPr/>
    <w:sdtContent>
      <w:p w14:paraId="4AC870FC" w14:textId="77777777" w:rsidR="001D40AF" w:rsidRDefault="007C74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06A34AFE" w14:textId="77777777" w:rsidR="001D40AF" w:rsidRDefault="002B4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EBB0" w14:textId="77777777" w:rsidR="002B4990" w:rsidRDefault="002B4990" w:rsidP="00F96DBD">
      <w:r>
        <w:separator/>
      </w:r>
    </w:p>
  </w:footnote>
  <w:footnote w:type="continuationSeparator" w:id="0">
    <w:p w14:paraId="63C63319" w14:textId="77777777" w:rsidR="002B4990" w:rsidRDefault="002B4990" w:rsidP="00F9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3D"/>
    <w:rsid w:val="00105C96"/>
    <w:rsid w:val="002B4990"/>
    <w:rsid w:val="00536BF6"/>
    <w:rsid w:val="00580471"/>
    <w:rsid w:val="007C74C0"/>
    <w:rsid w:val="00983592"/>
    <w:rsid w:val="00ED403D"/>
    <w:rsid w:val="00EF5B59"/>
    <w:rsid w:val="00F2651A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153B"/>
  <w15:chartTrackingRefBased/>
  <w15:docId w15:val="{D608A21B-45AD-4C2E-A46D-5A5766D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BD"/>
    <w:pPr>
      <w:widowControl w:val="0"/>
      <w:jc w:val="both"/>
    </w:pPr>
    <w:rPr>
      <w:rFonts w:ascii="Times New Roman" w:eastAsia="仿宋_GB2312" w:hAnsi="Times New Roman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96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2021-09-10T06:27:00Z</dcterms:created>
  <dcterms:modified xsi:type="dcterms:W3CDTF">2021-09-18T07:13:00Z</dcterms:modified>
</cp:coreProperties>
</file>