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20</w:t>
      </w:r>
      <w:r>
        <w:rPr>
          <w:rFonts w:ascii="黑体" w:hAnsi="黑体" w:eastAsia="黑体" w:cs="黑体"/>
          <w:sz w:val="52"/>
          <w:szCs w:val="52"/>
          <w:highlight w:val="none"/>
        </w:rPr>
        <w:t>21</w:t>
      </w:r>
      <w:r>
        <w:rPr>
          <w:rFonts w:hint="eastAsia" w:ascii="黑体" w:hAnsi="黑体" w:eastAsia="黑体" w:cs="黑体"/>
          <w:sz w:val="52"/>
          <w:szCs w:val="52"/>
          <w:highlight w:val="none"/>
        </w:rPr>
        <w:t>年度</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lang w:eastAsia="zh-CN"/>
        </w:rPr>
        <w:t>许昌市建安区地方海事处</w:t>
      </w:r>
      <w:r>
        <w:rPr>
          <w:rFonts w:hint="eastAsia" w:ascii="黑体" w:hAnsi="黑体" w:eastAsia="黑体" w:cs="黑体"/>
          <w:sz w:val="52"/>
          <w:szCs w:val="52"/>
          <w:highlight w:val="none"/>
        </w:rPr>
        <w:t>部门决算</w:t>
      </w:r>
    </w:p>
    <w:p>
      <w:pPr>
        <w:jc w:val="center"/>
        <w:rPr>
          <w:rFonts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highlight w:val="none"/>
        </w:rPr>
        <w:t>二〇二二年</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月</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w:t>
      </w:r>
      <w:r>
        <w:rPr>
          <w:rFonts w:hint="eastAsia" w:ascii="黑体" w:hAnsi="黑体" w:eastAsia="黑体" w:cs="黑体"/>
          <w:sz w:val="32"/>
          <w:szCs w:val="32"/>
          <w:highlight w:val="none"/>
          <w:lang w:eastAsia="zh-CN"/>
        </w:rPr>
        <w:t>许昌市建安区地方海事处</w:t>
      </w:r>
      <w:r>
        <w:rPr>
          <w:rFonts w:hint="eastAsia" w:ascii="黑体" w:hAnsi="黑体" w:eastAsia="黑体" w:cs="黑体"/>
          <w:sz w:val="32"/>
          <w:szCs w:val="32"/>
          <w:highlight w:val="none"/>
        </w:rPr>
        <w:t>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2021年度部门决算表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一、收入支出决算总表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二、收入决算表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三、支出决算表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四、财政拨款收入支出决算总表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五、一般公共预算财政拨款支出决算表</w:t>
      </w:r>
    </w:p>
    <w:p>
      <w:pPr>
        <w:ind w:firstLine="640" w:firstLineChars="200"/>
        <w:jc w:val="left"/>
        <w:rPr>
          <w:rFonts w:ascii="宋体" w:hAnsi="宋体" w:cs="黑体"/>
          <w:sz w:val="32"/>
          <w:szCs w:val="32"/>
          <w:highlight w:val="none"/>
        </w:rPr>
      </w:pPr>
      <w:r>
        <w:rPr>
          <w:rFonts w:hint="eastAsia" w:ascii="宋体" w:hAnsi="宋体" w:cs="黑体"/>
          <w:sz w:val="32"/>
          <w:szCs w:val="32"/>
          <w:highlight w:val="none"/>
        </w:rPr>
        <w:t>六、一般公共预算财政拨款基本支出决算明细表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七、一般公共预算财政拨款“三公”经费支出决算表</w:t>
      </w:r>
    </w:p>
    <w:p>
      <w:pPr>
        <w:ind w:firstLine="640" w:firstLineChars="200"/>
        <w:jc w:val="left"/>
        <w:rPr>
          <w:rFonts w:hint="eastAsia" w:ascii="宋体" w:hAnsi="宋体" w:cs="黑体"/>
          <w:sz w:val="32"/>
          <w:szCs w:val="32"/>
          <w:highlight w:val="none"/>
        </w:rPr>
      </w:pPr>
      <w:r>
        <w:rPr>
          <w:rFonts w:hint="eastAsia" w:ascii="宋体" w:hAnsi="宋体" w:cs="黑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w:t>
      </w:r>
      <w:r>
        <w:rPr>
          <w:rFonts w:ascii="黑体" w:hAnsi="黑体" w:eastAsia="黑体" w:cs="黑体"/>
          <w:sz w:val="32"/>
          <w:szCs w:val="32"/>
          <w:highlight w:val="none"/>
        </w:rPr>
        <w:t>2021</w:t>
      </w:r>
      <w:r>
        <w:rPr>
          <w:rFonts w:hint="eastAsia" w:ascii="黑体" w:hAnsi="黑体" w:eastAsia="黑体" w:cs="黑体"/>
          <w:sz w:val="32"/>
          <w:szCs w:val="32"/>
          <w:highlight w:val="none"/>
        </w:rPr>
        <w:t>年度</w:t>
      </w:r>
      <w:r>
        <w:rPr>
          <w:rFonts w:ascii="黑体" w:hAnsi="黑体" w:eastAsia="黑体" w:cs="黑体"/>
          <w:sz w:val="32"/>
          <w:szCs w:val="32"/>
          <w:highlight w:val="none"/>
        </w:rPr>
        <w:t>部门</w:t>
      </w:r>
      <w:r>
        <w:rPr>
          <w:rFonts w:hint="eastAsia" w:ascii="黑体" w:hAnsi="黑体" w:eastAsia="黑体" w:cs="黑体"/>
          <w:sz w:val="32"/>
          <w:szCs w:val="32"/>
          <w:highlight w:val="none"/>
        </w:rPr>
        <w:t>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八、政府性基金预算财政拨款支出决算情况说明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十、政府采购支出情况说明</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十一、国有资产占用情况说明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十二、预算绩效情况说明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both"/>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jc w:val="center"/>
        <w:outlineLvl w:val="0"/>
        <w:rPr>
          <w:rFonts w:hint="eastAsia" w:ascii="黑体" w:hAnsi="黑体" w:eastAsia="黑体" w:cs="黑体"/>
          <w:sz w:val="48"/>
          <w:szCs w:val="48"/>
          <w:highlight w:val="none"/>
        </w:rPr>
      </w:pPr>
    </w:p>
    <w:p>
      <w:pPr>
        <w:widowControl/>
        <w:numPr>
          <w:ilvl w:val="0"/>
          <w:numId w:val="2"/>
        </w:numPr>
        <w:jc w:val="center"/>
        <w:outlineLvl w:val="0"/>
        <w:rPr>
          <w:rFonts w:hint="eastAsia" w:ascii="黑体" w:hAnsi="黑体" w:eastAsia="黑体" w:cs="黑体"/>
          <w:sz w:val="48"/>
          <w:szCs w:val="48"/>
          <w:highlight w:val="none"/>
          <w:lang w:eastAsia="zh-CN"/>
        </w:rPr>
      </w:pPr>
      <w:r>
        <w:rPr>
          <w:rFonts w:hint="eastAsia" w:ascii="黑体" w:hAnsi="黑体" w:eastAsia="黑体" w:cs="黑体"/>
          <w:sz w:val="48"/>
          <w:szCs w:val="48"/>
          <w:highlight w:val="none"/>
        </w:rPr>
        <w:t xml:space="preserve"> </w:t>
      </w:r>
      <w:r>
        <w:rPr>
          <w:rFonts w:hint="eastAsia" w:ascii="黑体" w:hAnsi="黑体" w:eastAsia="黑体" w:cs="黑体"/>
          <w:sz w:val="48"/>
          <w:szCs w:val="48"/>
          <w:highlight w:val="none"/>
          <w:lang w:eastAsia="zh-CN"/>
        </w:rPr>
        <w:t>许昌市建安区地方海事处</w:t>
      </w:r>
    </w:p>
    <w:p>
      <w:pPr>
        <w:widowControl/>
        <w:numPr>
          <w:ilvl w:val="0"/>
          <w:numId w:val="0"/>
        </w:numPr>
        <w:ind w:firstLine="4800" w:firstLineChars="1000"/>
        <w:jc w:val="both"/>
        <w:outlineLvl w:val="0"/>
        <w:rPr>
          <w:rFonts w:hint="eastAsia" w:ascii="黑体" w:hAnsi="宋体" w:eastAsia="黑体" w:cs="宋体"/>
          <w:kern w:val="0"/>
          <w:sz w:val="28"/>
          <w:szCs w:val="28"/>
          <w:highlight w:val="none"/>
        </w:rPr>
      </w:pPr>
      <w:r>
        <w:rPr>
          <w:rFonts w:hint="eastAsia" w:ascii="黑体" w:hAnsi="黑体" w:eastAsia="黑体" w:cs="黑体"/>
          <w:sz w:val="48"/>
          <w:szCs w:val="48"/>
          <w:highlight w:val="none"/>
        </w:rPr>
        <w:t>概况</w:t>
      </w: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ascii="黑体" w:hAnsi="黑体" w:eastAsia="黑体" w:cs="黑体"/>
          <w:kern w:val="0"/>
          <w:sz w:val="32"/>
          <w:szCs w:val="32"/>
          <w:highlight w:val="none"/>
        </w:rPr>
      </w:pP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一、部门</w:t>
      </w:r>
      <w:r>
        <w:rPr>
          <w:rFonts w:hint="eastAsia" w:ascii="黑体" w:hAnsi="黑体" w:eastAsia="黑体" w:cs="黑体"/>
          <w:bCs/>
          <w:sz w:val="32"/>
          <w:szCs w:val="32"/>
          <w:highlight w:val="none"/>
        </w:rPr>
        <w:t>职责</w:t>
      </w:r>
    </w:p>
    <w:p>
      <w:pPr>
        <w:widowControl/>
        <w:ind w:firstLine="643" w:firstLineChars="200"/>
        <w:jc w:val="left"/>
        <w:outlineLvl w:val="1"/>
        <w:rPr>
          <w:rFonts w:hint="eastAsia" w:eastAsia="仿宋_GB2312"/>
          <w:b/>
          <w:bCs/>
          <w:sz w:val="32"/>
          <w:szCs w:val="32"/>
          <w:lang w:val="en-US" w:eastAsia="zh-CN"/>
        </w:rPr>
      </w:pPr>
      <w:r>
        <w:rPr>
          <w:rFonts w:hint="eastAsia" w:eastAsia="仿宋_GB2312"/>
          <w:b/>
          <w:bCs/>
          <w:sz w:val="32"/>
          <w:szCs w:val="32"/>
          <w:lang w:val="en-US" w:eastAsia="zh-CN"/>
        </w:rPr>
        <w:t>1、主要职责</w:t>
      </w:r>
    </w:p>
    <w:p>
      <w:pPr>
        <w:widowControl/>
        <w:ind w:firstLine="640" w:firstLineChars="200"/>
        <w:jc w:val="left"/>
        <w:outlineLvl w:val="1"/>
        <w:rPr>
          <w:rFonts w:eastAsia="仿宋_GB2312"/>
          <w:sz w:val="32"/>
          <w:szCs w:val="32"/>
        </w:rPr>
      </w:pPr>
      <w:r>
        <w:rPr>
          <w:rFonts w:eastAsia="仿宋_GB2312"/>
          <w:sz w:val="32"/>
          <w:szCs w:val="32"/>
        </w:rPr>
        <w:t>负责本辖区</w:t>
      </w:r>
      <w:r>
        <w:rPr>
          <w:rFonts w:hint="eastAsia" w:eastAsia="仿宋_GB2312"/>
          <w:sz w:val="32"/>
          <w:szCs w:val="32"/>
        </w:rPr>
        <w:t>水域管理，水上运输安全管理，渡口管理，船舶管理，船员管理，水上运输企业管理</w:t>
      </w:r>
      <w:r>
        <w:rPr>
          <w:rFonts w:eastAsia="仿宋_GB2312"/>
          <w:sz w:val="32"/>
          <w:szCs w:val="32"/>
        </w:rPr>
        <w:t>。</w:t>
      </w:r>
    </w:p>
    <w:p>
      <w:pPr>
        <w:widowControl/>
        <w:numPr>
          <w:ilvl w:val="0"/>
          <w:numId w:val="3"/>
        </w:numPr>
        <w:ind w:firstLine="643" w:firstLineChars="200"/>
        <w:jc w:val="left"/>
        <w:outlineLvl w:val="1"/>
        <w:rPr>
          <w:rFonts w:hint="eastAsia" w:eastAsia="仿宋_GB2312"/>
          <w:b/>
          <w:bCs/>
          <w:sz w:val="32"/>
          <w:szCs w:val="32"/>
          <w:lang w:val="en-US" w:eastAsia="zh-CN"/>
        </w:rPr>
      </w:pPr>
      <w:r>
        <w:rPr>
          <w:rFonts w:hint="eastAsia" w:eastAsia="仿宋_GB2312"/>
          <w:b/>
          <w:bCs/>
          <w:sz w:val="32"/>
          <w:szCs w:val="32"/>
          <w:lang w:val="en-US" w:eastAsia="zh-CN"/>
        </w:rPr>
        <w:t>人员构成情况</w:t>
      </w:r>
    </w:p>
    <w:p>
      <w:pPr>
        <w:widowControl/>
        <w:ind w:firstLine="640" w:firstLineChars="200"/>
        <w:jc w:val="left"/>
        <w:outlineLvl w:val="1"/>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本单位共有编制8人，其中事业编制8人，工勤编制0人。在职人数11人，退休人员0人，离休人员0人。</w:t>
      </w:r>
    </w:p>
    <w:p>
      <w:pPr>
        <w:widowControl/>
        <w:ind w:firstLine="640" w:firstLineChars="200"/>
        <w:jc w:val="left"/>
        <w:outlineLvl w:val="1"/>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二、机构设置</w:t>
      </w:r>
    </w:p>
    <w:p>
      <w:pPr>
        <w:adjustRightInd w:val="0"/>
        <w:snapToGrid w:val="0"/>
        <w:spacing w:line="360" w:lineRule="auto"/>
        <w:ind w:firstLine="640" w:firstLineChars="200"/>
        <w:rPr>
          <w:rFonts w:hint="eastAsia" w:eastAsia="仿宋_GB2312"/>
          <w:sz w:val="32"/>
          <w:szCs w:val="32"/>
          <w:lang w:eastAsia="zh-CN"/>
        </w:rPr>
      </w:pPr>
      <w:r>
        <w:rPr>
          <w:rFonts w:eastAsia="仿宋_GB2312"/>
          <w:sz w:val="32"/>
          <w:szCs w:val="32"/>
        </w:rPr>
        <w:t>许昌</w:t>
      </w:r>
      <w:r>
        <w:rPr>
          <w:rFonts w:hint="eastAsia" w:eastAsia="仿宋_GB2312"/>
          <w:sz w:val="32"/>
          <w:szCs w:val="32"/>
        </w:rPr>
        <w:t>市建安区</w:t>
      </w:r>
      <w:r>
        <w:rPr>
          <w:rFonts w:eastAsia="仿宋_GB2312"/>
          <w:sz w:val="32"/>
          <w:szCs w:val="32"/>
        </w:rPr>
        <w:t>地方海事</w:t>
      </w:r>
      <w:r>
        <w:rPr>
          <w:rFonts w:hint="eastAsia" w:eastAsia="仿宋_GB2312"/>
          <w:sz w:val="32"/>
          <w:szCs w:val="32"/>
        </w:rPr>
        <w:t>处无内设机构</w:t>
      </w:r>
      <w:r>
        <w:rPr>
          <w:rFonts w:hint="eastAsia" w:eastAsia="仿宋_GB2312"/>
          <w:sz w:val="32"/>
          <w:szCs w:val="32"/>
          <w:lang w:eastAsia="zh-CN"/>
        </w:rPr>
        <w:t>。</w:t>
      </w:r>
    </w:p>
    <w:p>
      <w:pPr>
        <w:widowControl/>
        <w:ind w:left="319" w:leftChars="152" w:firstLine="320" w:firstLineChars="1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从决算单位构成看，许昌市建安区地方海事处部门决算包括本级决算。</w:t>
      </w:r>
    </w:p>
    <w:p>
      <w:pPr>
        <w:widowControl/>
        <w:jc w:val="left"/>
        <w:rPr>
          <w:rFonts w:hint="eastAsia" w:ascii="仿宋_GB2312" w:hAnsi="仿宋_GB2312" w:eastAsia="仿宋_GB2312" w:cs="仿宋_GB2312"/>
          <w:kern w:val="0"/>
          <w:sz w:val="32"/>
          <w:szCs w:val="32"/>
          <w:highlight w:val="none"/>
        </w:rPr>
      </w:pPr>
    </w:p>
    <w:p>
      <w:pPr>
        <w:widowControl/>
        <w:ind w:firstLine="640" w:firstLineChars="200"/>
        <w:jc w:val="left"/>
        <w:rPr>
          <w:rFonts w:hint="eastAsia" w:ascii="仿宋_GB2312" w:hAnsi="仿宋_GB2312" w:eastAsia="仿宋_GB2312" w:cs="仿宋_GB2312"/>
          <w:kern w:val="0"/>
          <w:sz w:val="32"/>
          <w:szCs w:val="32"/>
          <w:highlight w:val="none"/>
        </w:rPr>
      </w:pPr>
    </w:p>
    <w:p>
      <w:pPr>
        <w:widowControl/>
        <w:jc w:val="left"/>
        <w:rPr>
          <w:rFonts w:hint="eastAsia" w:ascii="黑体" w:hAnsi="宋体" w:eastAsia="黑体" w:cs="宋体"/>
          <w:kern w:val="0"/>
          <w:sz w:val="28"/>
          <w:szCs w:val="28"/>
          <w:highlight w:val="none"/>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第二部分  2021年度部门决算表</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8"/>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54"/>
        <w:gridCol w:w="835"/>
        <w:gridCol w:w="1115"/>
        <w:gridCol w:w="4475"/>
        <w:gridCol w:w="835"/>
        <w:gridCol w:w="2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2636"/>
        <w:gridCol w:w="1084"/>
        <w:gridCol w:w="1264"/>
        <w:gridCol w:w="1028"/>
        <w:gridCol w:w="1028"/>
        <w:gridCol w:w="1028"/>
        <w:gridCol w:w="1029"/>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54"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54"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1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51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2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2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2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27"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512"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1"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74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4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7"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1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5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58"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126.52</w:t>
            </w: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7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7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74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51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1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47"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2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222"/>
        <w:gridCol w:w="222"/>
        <w:gridCol w:w="2636"/>
        <w:gridCol w:w="1438"/>
        <w:gridCol w:w="1519"/>
        <w:gridCol w:w="1168"/>
        <w:gridCol w:w="1168"/>
        <w:gridCol w:w="1168"/>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5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95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3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0"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4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72"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70"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4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4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46"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835"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0"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72"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4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7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72"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47"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126.52</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126.52</w:t>
            </w: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8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8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83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57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12"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83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4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72"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59"/>
        <w:gridCol w:w="526"/>
        <w:gridCol w:w="1323"/>
        <w:gridCol w:w="3685"/>
        <w:gridCol w:w="526"/>
        <w:gridCol w:w="908"/>
        <w:gridCol w:w="1321"/>
        <w:gridCol w:w="110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13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8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1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7"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78"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13"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7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227"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13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5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28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313"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37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61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13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8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13"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7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1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9"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84"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7"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13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12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1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45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386" w:type="pct"/>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61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60"/>
        <w:gridCol w:w="266"/>
        <w:gridCol w:w="272"/>
        <w:gridCol w:w="3200"/>
        <w:gridCol w:w="2050"/>
        <w:gridCol w:w="1987"/>
        <w:gridCol w:w="2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9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29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4"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2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2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0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4"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38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1"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1129"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0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48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1"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29"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1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610"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126.52</w:t>
            </w:r>
          </w:p>
        </w:tc>
        <w:tc>
          <w:tcPr>
            <w:tcW w:w="7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126.52</w:t>
            </w: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交通运输支出</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7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公路水路运输</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7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2140199</w:t>
            </w:r>
          </w:p>
        </w:tc>
        <w:tc>
          <w:tcPr>
            <w:tcW w:w="112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70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126.52</w:t>
            </w: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81"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29"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23"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0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964"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3352"/>
        <w:gridCol w:w="843"/>
        <w:gridCol w:w="739"/>
        <w:gridCol w:w="2307"/>
        <w:gridCol w:w="634"/>
        <w:gridCol w:w="739"/>
        <w:gridCol w:w="4188"/>
        <w:gridCol w:w="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255"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15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8"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06" w:type="pct"/>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291"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93"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55"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78" w:type="pct"/>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9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301" w:type="pct"/>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15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91"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5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79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1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5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38"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4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5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1"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9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38"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124.85</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2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31.51</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21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21.68</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w:t>
            </w: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43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15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55" w:type="pct"/>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51"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91"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9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21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55"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8"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6" w:type="pct"/>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29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124.85</w:t>
            </w:r>
          </w:p>
        </w:tc>
        <w:tc>
          <w:tcPr>
            <w:tcW w:w="2961" w:type="pct"/>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4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084"/>
        <w:gridCol w:w="897"/>
        <w:gridCol w:w="897"/>
        <w:gridCol w:w="900"/>
        <w:gridCol w:w="903"/>
        <w:gridCol w:w="898"/>
        <w:gridCol w:w="1085"/>
        <w:gridCol w:w="898"/>
        <w:gridCol w:w="898"/>
        <w:gridCol w:w="901"/>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30"/>
                <w:szCs w:val="30"/>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90"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890"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1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4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80"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7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295" w:type="pct"/>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0"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8"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34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34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8" w:type="pct"/>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48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890"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34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48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0"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9"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8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90" w:type="pct"/>
            <w:tcBorders>
              <w:top w:val="nil"/>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34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80"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color w:val="auto"/>
          <w:sz w:val="32"/>
          <w:szCs w:val="32"/>
          <w:highlight w:val="none"/>
        </w:rPr>
        <w:sectPr>
          <w:pgSz w:w="16838" w:h="11906" w:orient="landscape"/>
          <w:pgMar w:top="2098" w:right="1474" w:bottom="1984" w:left="1587"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说明：我部门没有预算安排的三公经费，也没有预算安排的三公支出，故本表无数据</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16"/>
        <w:gridCol w:w="272"/>
        <w:gridCol w:w="278"/>
        <w:gridCol w:w="1349"/>
        <w:gridCol w:w="1301"/>
        <w:gridCol w:w="1301"/>
        <w:gridCol w:w="1301"/>
        <w:gridCol w:w="1301"/>
        <w:gridCol w:w="1307"/>
        <w:gridCol w:w="2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11"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部门：许昌市建安区地方海事处</w:t>
            </w: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6"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59" w:type="pct"/>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18" w:type="pct"/>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459"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79" w:type="pct"/>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18" w:type="pct"/>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5"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476"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5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5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459"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1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6"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59"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18" w:type="pct"/>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81"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05" w:type="pct"/>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76" w:type="pct"/>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459"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18" w:type="pct"/>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center"/>
        <w:outlineLvl w:val="9"/>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第三部分 2021年度部门决算情况说明</w:t>
      </w:r>
    </w:p>
    <w:p>
      <w:pPr>
        <w:widowControl/>
        <w:jc w:val="left"/>
        <w:rPr>
          <w:rFonts w:hint="eastAsia" w:ascii="黑体" w:hAnsi="黑体" w:eastAsia="黑体" w:cs="黑体"/>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一、收入支出决算总体情况说明</w:t>
      </w:r>
    </w:p>
    <w:p>
      <w:pPr>
        <w:widowControl/>
        <w:spacing w:line="590" w:lineRule="exact"/>
        <w:ind w:firstLine="640" w:firstLineChars="200"/>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万元。与上年度相比，收、支总计各增加</w:t>
      </w:r>
      <w:r>
        <w:rPr>
          <w:rFonts w:hint="eastAsia" w:ascii="仿宋_GB2312" w:hAnsi="仿宋_GB2312" w:eastAsia="仿宋_GB2312" w:cs="仿宋_GB2312"/>
          <w:sz w:val="32"/>
          <w:szCs w:val="32"/>
          <w:highlight w:val="none"/>
          <w:lang w:val="en-US" w:eastAsia="zh-CN"/>
        </w:rPr>
        <w:t>13.97</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12.41</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本年度人员工资标准上调</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上级补助收0.00万元，占0.00%；事业收入0.00万元，占0.00%；经营收入0.00万元，占0.00%；附属单位上缴收入0.00万元，占0.00%；其他收入0.00万元，占0.00%。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年度支出合计</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项目支出0.00万元，占0.00%；上缴上级支出0.00万元，占0.00%；经营支出0.00万元，占0.00%；对附属单位补助支出0.00万元，占0.00%。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年度财政拨款收、支总计均为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万元。与上年度相比，财政拨款收、支总计各增加</w:t>
      </w:r>
      <w:r>
        <w:rPr>
          <w:rFonts w:hint="eastAsia" w:ascii="仿宋_GB2312" w:hAnsi="仿宋_GB2312" w:eastAsia="仿宋_GB2312" w:cs="仿宋_GB2312"/>
          <w:sz w:val="32"/>
          <w:szCs w:val="32"/>
          <w:highlight w:val="none"/>
          <w:lang w:val="en-US" w:eastAsia="zh-CN"/>
        </w:rPr>
        <w:t>13.97</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12.41</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本年度人员工资标准上调</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（一）总体情况。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万元，占支出合计的</w:t>
      </w:r>
      <w:r>
        <w:rPr>
          <w:rFonts w:hint="eastAsia" w:ascii="仿宋_GB2312" w:hAnsi="仿宋_GB2312" w:eastAsia="仿宋_GB2312" w:cs="仿宋_GB2312"/>
          <w:sz w:val="32"/>
          <w:szCs w:val="32"/>
          <w:highlight w:val="none"/>
          <w:lang w:val="en-US" w:eastAsia="zh-CN"/>
        </w:rPr>
        <w:t>100.00</w:t>
      </w:r>
      <w:r>
        <w:rPr>
          <w:rFonts w:hint="eastAsia" w:ascii="仿宋_GB2312" w:hAnsi="仿宋_GB2312" w:eastAsia="仿宋_GB2312" w:cs="仿宋_GB2312"/>
          <w:sz w:val="32"/>
          <w:szCs w:val="32"/>
          <w:highlight w:val="none"/>
        </w:rPr>
        <w:t>%。与上年度相比，一般公共预算财政拨款支出增加</w:t>
      </w:r>
      <w:r>
        <w:rPr>
          <w:rFonts w:hint="eastAsia" w:ascii="仿宋_GB2312" w:hAnsi="仿宋_GB2312" w:eastAsia="仿宋_GB2312" w:cs="仿宋_GB2312"/>
          <w:sz w:val="32"/>
          <w:szCs w:val="32"/>
          <w:highlight w:val="none"/>
          <w:lang w:val="en-US" w:eastAsia="zh-CN"/>
        </w:rPr>
        <w:t>14.05</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12.50</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本年度人员工资标准上调</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lang w:val="en-US" w:eastAsia="zh-CN"/>
        </w:rPr>
        <w:t>主要用于以下方面：交通运输（类）支出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color w:val="auto"/>
          <w:sz w:val="32"/>
          <w:szCs w:val="32"/>
          <w:highlight w:val="none"/>
          <w:lang w:val="en-US" w:eastAsia="zh-CN"/>
        </w:rPr>
        <w:t>万元，占100.00%。</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预算为</w:t>
      </w:r>
      <w:r>
        <w:rPr>
          <w:rFonts w:hint="eastAsia" w:ascii="仿宋_GB2312" w:hAnsi="仿宋_GB2312" w:eastAsia="仿宋_GB2312" w:cs="仿宋_GB2312"/>
          <w:sz w:val="32"/>
          <w:szCs w:val="32"/>
          <w:highlight w:val="none"/>
          <w:lang w:val="en-US" w:eastAsia="zh-CN"/>
        </w:rPr>
        <w:t>119.00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sz w:val="32"/>
          <w:szCs w:val="32"/>
          <w:highlight w:val="none"/>
        </w:rPr>
        <w:t>万元，完成</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预算的</w:t>
      </w:r>
      <w:r>
        <w:rPr>
          <w:rFonts w:hint="eastAsia" w:ascii="仿宋_GB2312" w:hAnsi="仿宋_GB2312" w:eastAsia="仿宋_GB2312" w:cs="仿宋_GB2312"/>
          <w:sz w:val="32"/>
          <w:szCs w:val="32"/>
          <w:highlight w:val="none"/>
          <w:lang w:val="en-US" w:eastAsia="zh-CN"/>
        </w:rPr>
        <w:t>106.32</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1．城乡社区支出（类）城乡社区管理事务（款） 市政公用行业市场监管（项）。</w:t>
      </w:r>
      <w:r>
        <w:rPr>
          <w:rFonts w:hint="eastAsia" w:ascii="仿宋_GB2312" w:hAnsi="仿宋_GB2312" w:eastAsia="仿宋_GB2312" w:cs="仿宋_GB2312"/>
          <w:color w:val="auto"/>
          <w:sz w:val="32"/>
          <w:szCs w:val="32"/>
          <w:highlight w:val="none"/>
          <w:lang w:val="en-US" w:eastAsia="zh-CN"/>
        </w:rPr>
        <w:t>年初预算为</w:t>
      </w:r>
      <w:r>
        <w:rPr>
          <w:rFonts w:hint="eastAsia" w:ascii="仿宋_GB2312" w:hAnsi="仿宋_GB2312" w:eastAsia="仿宋_GB2312" w:cs="仿宋_GB2312"/>
          <w:sz w:val="32"/>
          <w:szCs w:val="32"/>
          <w:highlight w:val="none"/>
          <w:lang w:val="en-US" w:eastAsia="zh-CN"/>
        </w:rPr>
        <w:t>119.00</w:t>
      </w:r>
      <w:r>
        <w:rPr>
          <w:rFonts w:hint="eastAsia" w:ascii="仿宋_GB2312" w:hAnsi="仿宋_GB2312" w:eastAsia="仿宋_GB2312" w:cs="仿宋_GB2312"/>
          <w:color w:val="auto"/>
          <w:sz w:val="32"/>
          <w:szCs w:val="32"/>
          <w:highlight w:val="none"/>
          <w:lang w:val="en-US" w:eastAsia="zh-CN"/>
        </w:rPr>
        <w:t>万元，支出决算为126.52万元，完成年初预算的106.32%。决算数与年初预算数存在差异的主要原因是</w:t>
      </w:r>
      <w:r>
        <w:rPr>
          <w:rFonts w:hint="eastAsia" w:ascii="仿宋_GB2312" w:hAnsi="仿宋_GB2312" w:eastAsia="仿宋_GB2312" w:cs="仿宋_GB2312"/>
          <w:sz w:val="32"/>
          <w:szCs w:val="32"/>
          <w:highlight w:val="none"/>
          <w:lang w:eastAsia="zh-CN"/>
        </w:rPr>
        <w:t>本年度人员工资标准上调</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2021年度一般公共预算财政拨款基本支出</w:t>
      </w:r>
      <w:r>
        <w:rPr>
          <w:rFonts w:hint="eastAsia" w:ascii="仿宋_GB2312" w:hAnsi="仿宋_GB2312" w:eastAsia="仿宋_GB2312" w:cs="仿宋_GB2312"/>
          <w:sz w:val="32"/>
          <w:szCs w:val="32"/>
          <w:highlight w:val="none"/>
          <w:lang w:val="en-US" w:eastAsia="zh-CN"/>
        </w:rPr>
        <w:t>126.52</w:t>
      </w:r>
      <w:r>
        <w:rPr>
          <w:rFonts w:hint="eastAsia" w:ascii="仿宋_GB2312" w:hAnsi="仿宋_GB2312" w:eastAsia="仿宋_GB2312" w:cs="仿宋_GB2312"/>
          <w:color w:val="auto"/>
          <w:sz w:val="32"/>
          <w:szCs w:val="32"/>
          <w:highlight w:val="none"/>
          <w:lang w:val="en-US" w:eastAsia="zh-CN"/>
        </w:rPr>
        <w:t>万元。其中：人员经费</w:t>
      </w:r>
      <w:r>
        <w:rPr>
          <w:rFonts w:hint="eastAsia" w:ascii="仿宋_GB2312" w:hAnsi="仿宋_GB2312" w:eastAsia="仿宋_GB2312" w:cs="仿宋_GB2312"/>
          <w:sz w:val="32"/>
          <w:szCs w:val="32"/>
          <w:highlight w:val="none"/>
          <w:lang w:val="en-US" w:eastAsia="zh-CN"/>
        </w:rPr>
        <w:t>124.85</w:t>
      </w:r>
      <w:r>
        <w:rPr>
          <w:rFonts w:hint="eastAsia" w:ascii="仿宋_GB2312" w:hAnsi="仿宋_GB2312" w:eastAsia="仿宋_GB2312" w:cs="仿宋_GB2312"/>
          <w:color w:val="auto"/>
          <w:sz w:val="32"/>
          <w:szCs w:val="32"/>
          <w:highlight w:val="none"/>
          <w:lang w:val="en-US" w:eastAsia="zh-CN"/>
        </w:rPr>
        <w:t>万元，主要包括：基本工资、津贴补贴、绩效工资、机关事业单位基本养老保险缴费、职工基本医疗保险缴费、其他社会保障缴费、住房公积金；公用经费</w:t>
      </w:r>
      <w:r>
        <w:rPr>
          <w:rFonts w:hint="eastAsia" w:ascii="仿宋_GB2312" w:hAnsi="仿宋_GB2312" w:eastAsia="仿宋_GB2312" w:cs="仿宋_GB2312"/>
          <w:sz w:val="32"/>
          <w:szCs w:val="32"/>
          <w:highlight w:val="none"/>
          <w:lang w:val="en-US" w:eastAsia="zh-CN"/>
        </w:rPr>
        <w:t>1.68</w:t>
      </w:r>
      <w:r>
        <w:rPr>
          <w:rFonts w:hint="eastAsia" w:ascii="仿宋_GB2312" w:hAnsi="仿宋_GB2312" w:eastAsia="仿宋_GB2312" w:cs="仿宋_GB2312"/>
          <w:color w:val="auto"/>
          <w:sz w:val="32"/>
          <w:szCs w:val="32"/>
          <w:highlight w:val="none"/>
          <w:lang w:val="en-US" w:eastAsia="zh-CN"/>
        </w:rPr>
        <w:t>万元，主要包括：办公费。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七、一般公共预算财政拨款“三公”经费支出决算情况说明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（一）“三公”经费财政拨款支出决算总体情况说明。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2021年度“三公”经费财政拨款支出预算为0.00万元，支出决算为0.00万元，完成预算的0.00%。2021年度“三公”经费支出决算数与预算数无差异。</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（二）“三公”经费财政拨款支出决算具体情况说明。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三公”经费财政拨款支出决算中，因公出国（境）费支出决算0.00万元，完成预算的0.00%，占0.00%；公务用车购置及运行费支出决算0.00万元，完成预算的0.00%，占0.00%；公务接待费支出决算0.00万元，完成预算的0.00%，占0.00%。具体情况如下：</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1．因公出国（境）费</w:t>
      </w:r>
      <w:r>
        <w:rPr>
          <w:rFonts w:hint="eastAsia" w:ascii="仿宋_GB2312" w:hAnsi="仿宋_GB2312" w:eastAsia="仿宋_GB2312" w:cs="仿宋_GB2312"/>
          <w:color w:val="auto"/>
          <w:sz w:val="32"/>
          <w:szCs w:val="32"/>
          <w:highlight w:val="none"/>
          <w:lang w:val="en-US" w:eastAsia="zh-CN"/>
        </w:rPr>
        <w:t>预算为0.00万元，支出决算为0.00万元，完成预算的0.00%。决算数与预算数无差异。全年因公出国（境）团组0个，累计0人次。</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2．公务用车购置及运行费</w:t>
      </w:r>
      <w:r>
        <w:rPr>
          <w:rFonts w:hint="eastAsia" w:ascii="仿宋_GB2312" w:hAnsi="仿宋_GB2312" w:eastAsia="仿宋_GB2312" w:cs="仿宋_GB2312"/>
          <w:color w:val="auto"/>
          <w:sz w:val="32"/>
          <w:szCs w:val="32"/>
          <w:highlight w:val="none"/>
          <w:lang w:val="en-US" w:eastAsia="zh-CN"/>
        </w:rPr>
        <w:t>预算为0.00万元，支出决算为0.00万元，完成预算的0.00%。决算数与预算数无差异。其中：</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公务用车购置支出</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，购置车辆0辆。</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公务用车运行支出</w:t>
      </w:r>
      <w:r>
        <w:rPr>
          <w:rFonts w:hint="eastAsia" w:ascii="仿宋_GB2312" w:hAnsi="仿宋_GB2312" w:eastAsia="仿宋_GB2312" w:cs="仿宋_GB2312"/>
          <w:color w:val="auto"/>
          <w:sz w:val="32"/>
          <w:szCs w:val="32"/>
          <w:highlight w:val="none"/>
          <w:lang w:val="en-US" w:eastAsia="zh-CN"/>
        </w:rPr>
        <w:t>0.00</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val="en-US" w:eastAsia="zh-CN"/>
        </w:rPr>
        <w:t>2021年期末，部门开支财政拨款的公务用车保有量为0辆。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3.公务接待费</w:t>
      </w:r>
      <w:r>
        <w:rPr>
          <w:rFonts w:hint="eastAsia" w:ascii="仿宋_GB2312" w:hAnsi="仿宋_GB2312" w:eastAsia="仿宋_GB2312" w:cs="仿宋_GB2312"/>
          <w:color w:val="auto"/>
          <w:sz w:val="32"/>
          <w:szCs w:val="32"/>
          <w:highlight w:val="none"/>
          <w:lang w:val="en-US" w:eastAsia="zh-CN"/>
        </w:rPr>
        <w:t>预算为0.00万元，支出决算为0.00万元，完成预算的0.00%。决算数与预算数无差异。其中：</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外宾接待支出</w:t>
      </w:r>
      <w:r>
        <w:rPr>
          <w:rFonts w:hint="eastAsia" w:ascii="仿宋_GB2312" w:hAnsi="仿宋_GB2312" w:eastAsia="仿宋_GB2312" w:cs="仿宋_GB2312"/>
          <w:color w:val="auto"/>
          <w:sz w:val="32"/>
          <w:szCs w:val="32"/>
          <w:highlight w:val="none"/>
          <w:lang w:val="en-US" w:eastAsia="zh-CN"/>
        </w:rPr>
        <w:t>0.00万元。2021年共接待国（境）外来访团组0个、来访外宾0人次（不包括陪同人员）。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其他国内公务接待支出</w:t>
      </w:r>
      <w:r>
        <w:rPr>
          <w:rFonts w:hint="eastAsia" w:ascii="仿宋_GB2312" w:hAnsi="仿宋_GB2312" w:eastAsia="仿宋_GB2312" w:cs="仿宋_GB2312"/>
          <w:color w:val="auto"/>
          <w:sz w:val="32"/>
          <w:szCs w:val="32"/>
          <w:highlight w:val="none"/>
          <w:lang w:val="en-US" w:eastAsia="zh-CN"/>
        </w:rPr>
        <w:t>0.00万元。2021年共接待国内来访团组0个、来宾0人次（不包括陪同人员）。</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八、政府性基金预算财政拨款支出决算情况说明</w:t>
      </w:r>
    </w:p>
    <w:p>
      <w:pPr>
        <w:widowControl/>
        <w:spacing w:line="590" w:lineRule="exact"/>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highlight w:val="none"/>
          <w:lang w:val="en-US" w:eastAsia="zh-CN"/>
        </w:rPr>
        <w:t>2021年度政府性基金预算财政拨款支出年初预算为0.00万元，支出决算为0.00万元，完成预算的0.00%。不存在项目年末结转和结余资金数额较大。情况说明：</w:t>
      </w:r>
      <w:r>
        <w:rPr>
          <w:rFonts w:hint="eastAsia" w:ascii="仿宋_GB2312" w:hAnsi="仿宋_GB2312" w:eastAsia="仿宋_GB2312" w:cs="仿宋_GB2312"/>
          <w:sz w:val="32"/>
          <w:szCs w:val="32"/>
          <w:highlight w:val="none"/>
        </w:rPr>
        <w:t>我单位202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九、机关运行经费支出情况说明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2021年度机关运行经费年初预算为0.00万元，支出决算为0.00万元，完成预算的0.00%。决算数与年初预算数无差异。主要原因是：我单位不是行政机关，也不是参照公务员管理事业单位，没有机关运行经费支出。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十、政府采购支出情况说明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2021年度政府采购支出总额0.00万元，其中：政府采购货物支出0.00万元、政府采购工程支出0.00万元、政府采购服务支出0.00万元。</w:t>
      </w:r>
      <w:r>
        <w:rPr>
          <w:rFonts w:hint="eastAsia" w:ascii="仿宋_GB2312" w:hAnsi="仿宋_GB2312" w:eastAsia="仿宋_GB2312" w:cs="仿宋_GB2312"/>
          <w:sz w:val="32"/>
          <w:szCs w:val="32"/>
          <w:highlight w:val="none"/>
        </w:rPr>
        <w:t>授予中小企业合同金额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十一、国有资产占用情况说明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年期末，我单位共有车辆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辆，其中：省级领导干部用车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辆、应急保障车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辆；单位价值50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十二、预算绩效情况说明</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按照《许昌市建安区财政局关于开展2021年度区级预算项目绩效自评工作的通知》（建安财效〔2022〕2号）文件要求，对本单位整体支出和项目支出开展全过程预算绩效管理。2021年我单位纳入预算绩效管理的支出总额为126.52万元，其中：基本支出126.52万元；支出项目0个，支出金额0.00万元。开展项目绩效自评项目0个，自评金额0.00万元；纳入重点绩效评价0个，评价金额0.00万元。</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964" w:firstLineChars="3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（二）单位整体和项目绩效自评结果。</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按照《许昌市财政局关于开展2021年度市级预算绩效自评工作的通知》（许财效）〔2021〕1号）等文件精神，我单位对本单位整体绩效目标和项目支出绩效目标进行了自评。一是单位整体绩效自评情况：</w:t>
      </w:r>
      <w:r>
        <w:rPr>
          <w:rFonts w:hint="eastAsia" w:ascii="仿宋_GB2312" w:hAnsi="仿宋_GB2312" w:eastAsia="仿宋_GB2312" w:cs="仿宋_GB2312"/>
          <w:sz w:val="32"/>
          <w:szCs w:val="32"/>
          <w:highlight w:val="none"/>
        </w:rPr>
        <w:t>自20</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年全面开展绩效工作，对管理人员，主要是根据层层分解的关键业绩指标完成情况进行考核；同时，在</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里倡导采用“考勤制”考核办法，办公室出台了“工作突出制”实施指导意见，帮助</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里建立各自的考核办法。经过</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的实施，绩效管理在管理人员中起到了一定的积极作用，各级管理人员真正认识到自己的岗位职责，能够认真履职，管理水平得到极大地提高。在任务繁重、人员紧张的情况下，我们看到，由于长期疲劳工作，干活多的人和干活少的人有了比较，岗位高的人与岗位低的人都在努力干好自己的工作，遵守</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里的纪律，</w:t>
      </w:r>
      <w:r>
        <w:rPr>
          <w:rFonts w:hint="eastAsia" w:ascii="仿宋_GB2312" w:hAnsi="仿宋_GB2312" w:eastAsia="仿宋_GB2312" w:cs="仿宋_GB2312"/>
          <w:sz w:val="32"/>
          <w:szCs w:val="32"/>
          <w:highlight w:val="none"/>
          <w:lang w:eastAsia="zh-CN"/>
        </w:rPr>
        <w:t>处</w:t>
      </w:r>
      <w:r>
        <w:rPr>
          <w:rFonts w:hint="eastAsia" w:ascii="仿宋_GB2312" w:hAnsi="仿宋_GB2312" w:eastAsia="仿宋_GB2312" w:cs="仿宋_GB2312"/>
          <w:sz w:val="32"/>
          <w:szCs w:val="32"/>
          <w:highlight w:val="none"/>
        </w:rPr>
        <w:t>里的凝聚力和战斗力提高，工作效率提高，以上现象，说明我们的</w:t>
      </w:r>
      <w:r>
        <w:rPr>
          <w:rFonts w:hint="eastAsia" w:ascii="仿宋_GB2312" w:hAnsi="仿宋_GB2312" w:eastAsia="仿宋_GB2312" w:cs="仿宋_GB2312"/>
          <w:sz w:val="32"/>
          <w:szCs w:val="32"/>
          <w:highlight w:val="none"/>
          <w:lang w:eastAsia="zh-CN"/>
        </w:rPr>
        <w:t>整体</w:t>
      </w:r>
      <w:r>
        <w:rPr>
          <w:rFonts w:hint="eastAsia" w:ascii="仿宋_GB2312" w:hAnsi="仿宋_GB2312" w:eastAsia="仿宋_GB2312" w:cs="仿宋_GB2312"/>
          <w:sz w:val="32"/>
          <w:szCs w:val="32"/>
          <w:highlight w:val="none"/>
        </w:rPr>
        <w:t>绩效管理工作取得了一定的成效</w:t>
      </w:r>
      <w:r>
        <w:rPr>
          <w:rFonts w:hint="eastAsia" w:ascii="仿宋_GB2312" w:hAnsi="仿宋_GB2312" w:eastAsia="仿宋_GB2312" w:cs="仿宋_GB2312"/>
          <w:color w:val="auto"/>
          <w:sz w:val="32"/>
          <w:szCs w:val="32"/>
          <w:highlight w:val="none"/>
          <w:lang w:val="en-US" w:eastAsia="zh-CN"/>
        </w:rPr>
        <w:t>。二是项目绩效自评情况。我单位共有0个项目批复了绩效目标。</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960" w:firstLineChars="3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于项目预期目标的实现程度，对2021年度项目支出绩效进行自评，绩效自评平均得分为0.00分。其中：0个项目评价等级为“优”、0个项目评价等级为“良”、0个项目评价等级为“中”、0个项目评价等级为“差”。</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964" w:firstLineChars="3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widowControl/>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我单位选取0个项目开展了部门重点评价，评价得分：/分，等次为“/”。许昌市建安区财政局选取我单位：0个项目开展财政重点评价。</w:t>
      </w:r>
    </w:p>
    <w:p>
      <w:pPr>
        <w:widowControl/>
        <w:ind w:firstLine="640" w:firstLineChars="200"/>
        <w:jc w:val="left"/>
        <w:rPr>
          <w:rFonts w:hint="default" w:ascii="黑体" w:hAnsi="宋体" w:eastAsia="黑体" w:cs="宋体"/>
          <w:kern w:val="0"/>
          <w:sz w:val="28"/>
          <w:szCs w:val="28"/>
          <w:highlight w:val="none"/>
          <w:lang w:val="en-US"/>
        </w:rPr>
      </w:pPr>
      <w:r>
        <w:rPr>
          <w:rFonts w:hint="eastAsia" w:ascii="仿宋_GB2312" w:hAnsi="仿宋_GB2312" w:eastAsia="仿宋_GB2312" w:cs="仿宋_GB2312"/>
          <w:color w:val="auto"/>
          <w:sz w:val="32"/>
          <w:szCs w:val="32"/>
          <w:highlight w:val="none"/>
          <w:lang w:val="en-US" w:eastAsia="zh-CN"/>
        </w:rPr>
        <w:t>2021年度我单位没有开展重点绩效评价的项目。</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ind w:firstLine="1920" w:firstLineChars="400"/>
        <w:jc w:val="both"/>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第四部分  名词解释</w:t>
      </w:r>
    </w:p>
    <w:p>
      <w:pPr>
        <w:jc w:val="center"/>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sectPr>
          <w:pgSz w:w="11906" w:h="16838"/>
          <w:pgMar w:top="1440" w:right="1531" w:bottom="1440" w:left="1587" w:header="850" w:footer="992" w:gutter="0"/>
          <w:pgNumType w:fmt="numberInDash"/>
          <w:cols w:space="720" w:num="1"/>
          <w:docGrid w:type="lines" w:linePitch="317" w:charSpace="0"/>
        </w:sect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十、年末结余：本年度或以前年度预算安排，已执行完毕或因客观条件发生变化无法按原预算安排实施，不需要再使用或无法按原预算安排继续使用的资金。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bookmarkStart w:id="0" w:name="_GoBack"/>
      <w:bookmarkEnd w:id="0"/>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- 23 -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652EA"/>
    <w:multiLevelType w:val="singleLevel"/>
    <w:tmpl w:val="8B7652EA"/>
    <w:lvl w:ilvl="0" w:tentative="0">
      <w:start w:val="1"/>
      <w:numFmt w:val="chineseCounting"/>
      <w:suff w:val="space"/>
      <w:lvlText w:val="第%1部分"/>
      <w:lvlJc w:val="left"/>
      <w:rPr>
        <w:rFonts w:hint="eastAsia"/>
      </w:rPr>
    </w:lvl>
  </w:abstractNum>
  <w:abstractNum w:abstractNumId="1">
    <w:nsid w:val="989EED54"/>
    <w:multiLevelType w:val="singleLevel"/>
    <w:tmpl w:val="989EED54"/>
    <w:lvl w:ilvl="0" w:tentative="0">
      <w:start w:val="2"/>
      <w:numFmt w:val="decimal"/>
      <w:suff w:val="nothing"/>
      <w:lvlText w:val="%1、"/>
      <w:lvlJc w:val="left"/>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TJmZmNiYTdkYTgyYzg0YWIyMGM2MzA4ZWY1NTUifQ=="/>
  </w:docVars>
  <w:rsids>
    <w:rsidRoot w:val="000270E8"/>
    <w:rsid w:val="000270E8"/>
    <w:rsid w:val="000335B5"/>
    <w:rsid w:val="00057AFD"/>
    <w:rsid w:val="00076410"/>
    <w:rsid w:val="00081835"/>
    <w:rsid w:val="000904B3"/>
    <w:rsid w:val="000C073B"/>
    <w:rsid w:val="000C1142"/>
    <w:rsid w:val="001003F8"/>
    <w:rsid w:val="00144159"/>
    <w:rsid w:val="001718A8"/>
    <w:rsid w:val="00182842"/>
    <w:rsid w:val="00184D53"/>
    <w:rsid w:val="001905F2"/>
    <w:rsid w:val="00197592"/>
    <w:rsid w:val="001C32F0"/>
    <w:rsid w:val="001D61B1"/>
    <w:rsid w:val="001F5040"/>
    <w:rsid w:val="002006EB"/>
    <w:rsid w:val="00214AE1"/>
    <w:rsid w:val="00260D70"/>
    <w:rsid w:val="00281114"/>
    <w:rsid w:val="00282C7F"/>
    <w:rsid w:val="00287811"/>
    <w:rsid w:val="00292B4B"/>
    <w:rsid w:val="002A6352"/>
    <w:rsid w:val="002B3F94"/>
    <w:rsid w:val="002C171D"/>
    <w:rsid w:val="002E6A86"/>
    <w:rsid w:val="00304D04"/>
    <w:rsid w:val="00305B88"/>
    <w:rsid w:val="00315FEB"/>
    <w:rsid w:val="0041489C"/>
    <w:rsid w:val="0042585F"/>
    <w:rsid w:val="00445CAC"/>
    <w:rsid w:val="00472E19"/>
    <w:rsid w:val="00487869"/>
    <w:rsid w:val="004D5275"/>
    <w:rsid w:val="004F63DB"/>
    <w:rsid w:val="00505190"/>
    <w:rsid w:val="00507364"/>
    <w:rsid w:val="00546F7C"/>
    <w:rsid w:val="005A0C2F"/>
    <w:rsid w:val="005B1AE2"/>
    <w:rsid w:val="005E3397"/>
    <w:rsid w:val="00607D67"/>
    <w:rsid w:val="006228C4"/>
    <w:rsid w:val="00636C37"/>
    <w:rsid w:val="006512DD"/>
    <w:rsid w:val="00656BEF"/>
    <w:rsid w:val="00656D75"/>
    <w:rsid w:val="00657E86"/>
    <w:rsid w:val="00673EF7"/>
    <w:rsid w:val="006841E9"/>
    <w:rsid w:val="0069449E"/>
    <w:rsid w:val="006C07F0"/>
    <w:rsid w:val="006C644A"/>
    <w:rsid w:val="006C7D84"/>
    <w:rsid w:val="007148E8"/>
    <w:rsid w:val="00733DAA"/>
    <w:rsid w:val="00742BA0"/>
    <w:rsid w:val="00753545"/>
    <w:rsid w:val="00764156"/>
    <w:rsid w:val="007706D7"/>
    <w:rsid w:val="007879ED"/>
    <w:rsid w:val="007A48A3"/>
    <w:rsid w:val="007C029F"/>
    <w:rsid w:val="007C7F49"/>
    <w:rsid w:val="007D2A21"/>
    <w:rsid w:val="00843461"/>
    <w:rsid w:val="008651E7"/>
    <w:rsid w:val="00872946"/>
    <w:rsid w:val="0088023A"/>
    <w:rsid w:val="008858FB"/>
    <w:rsid w:val="00894B41"/>
    <w:rsid w:val="008B5427"/>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D6761"/>
    <w:rsid w:val="00AE2FEA"/>
    <w:rsid w:val="00AE600E"/>
    <w:rsid w:val="00B0083B"/>
    <w:rsid w:val="00B040BC"/>
    <w:rsid w:val="00B209B8"/>
    <w:rsid w:val="00B20BBC"/>
    <w:rsid w:val="00B249F3"/>
    <w:rsid w:val="00B649BE"/>
    <w:rsid w:val="00B653A5"/>
    <w:rsid w:val="00B710DD"/>
    <w:rsid w:val="00BE5A85"/>
    <w:rsid w:val="00BF4E6A"/>
    <w:rsid w:val="00BF5718"/>
    <w:rsid w:val="00C13474"/>
    <w:rsid w:val="00C3106E"/>
    <w:rsid w:val="00C60609"/>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D38B7"/>
    <w:rsid w:val="00EE051D"/>
    <w:rsid w:val="00F0131A"/>
    <w:rsid w:val="00F14C17"/>
    <w:rsid w:val="00F17041"/>
    <w:rsid w:val="00F218CF"/>
    <w:rsid w:val="00F44937"/>
    <w:rsid w:val="00F61A47"/>
    <w:rsid w:val="00F84422"/>
    <w:rsid w:val="00F95455"/>
    <w:rsid w:val="00FA574D"/>
    <w:rsid w:val="00FC2588"/>
    <w:rsid w:val="00FE7AD9"/>
    <w:rsid w:val="01322275"/>
    <w:rsid w:val="01DC6F05"/>
    <w:rsid w:val="02A3489A"/>
    <w:rsid w:val="02CA138D"/>
    <w:rsid w:val="033646FC"/>
    <w:rsid w:val="03C75F80"/>
    <w:rsid w:val="0478364D"/>
    <w:rsid w:val="053D4C0D"/>
    <w:rsid w:val="0557532E"/>
    <w:rsid w:val="0799329C"/>
    <w:rsid w:val="08397436"/>
    <w:rsid w:val="086F16A7"/>
    <w:rsid w:val="0A0F7225"/>
    <w:rsid w:val="0A2B7D82"/>
    <w:rsid w:val="0ADC40E9"/>
    <w:rsid w:val="0AE607F4"/>
    <w:rsid w:val="0B386127"/>
    <w:rsid w:val="0B451598"/>
    <w:rsid w:val="0BEC73F4"/>
    <w:rsid w:val="0C392698"/>
    <w:rsid w:val="0EC848A7"/>
    <w:rsid w:val="10BD36F6"/>
    <w:rsid w:val="11BF0649"/>
    <w:rsid w:val="123E3E08"/>
    <w:rsid w:val="133212F4"/>
    <w:rsid w:val="13D22E22"/>
    <w:rsid w:val="161C2DFF"/>
    <w:rsid w:val="16373578"/>
    <w:rsid w:val="16D3336B"/>
    <w:rsid w:val="17200028"/>
    <w:rsid w:val="17806C36"/>
    <w:rsid w:val="179D64F4"/>
    <w:rsid w:val="17A74F62"/>
    <w:rsid w:val="18A47774"/>
    <w:rsid w:val="1A8D28EB"/>
    <w:rsid w:val="1A9F2D78"/>
    <w:rsid w:val="1AC67717"/>
    <w:rsid w:val="1B2E6FD8"/>
    <w:rsid w:val="1B877D21"/>
    <w:rsid w:val="1C4319A9"/>
    <w:rsid w:val="1E443B4B"/>
    <w:rsid w:val="1E994F4A"/>
    <w:rsid w:val="1EAF0224"/>
    <w:rsid w:val="1F2230A4"/>
    <w:rsid w:val="20210932"/>
    <w:rsid w:val="202448E0"/>
    <w:rsid w:val="20F614FE"/>
    <w:rsid w:val="21302EEA"/>
    <w:rsid w:val="22376FB5"/>
    <w:rsid w:val="23E152D7"/>
    <w:rsid w:val="23EE2489"/>
    <w:rsid w:val="255D43C8"/>
    <w:rsid w:val="26714EF8"/>
    <w:rsid w:val="26876BDD"/>
    <w:rsid w:val="2714632A"/>
    <w:rsid w:val="27541E73"/>
    <w:rsid w:val="27B0539E"/>
    <w:rsid w:val="29365CF8"/>
    <w:rsid w:val="299469B3"/>
    <w:rsid w:val="2A805789"/>
    <w:rsid w:val="2ADC0D75"/>
    <w:rsid w:val="2B4A0E52"/>
    <w:rsid w:val="2C975890"/>
    <w:rsid w:val="2D917B83"/>
    <w:rsid w:val="2DEF21BB"/>
    <w:rsid w:val="2E4A2F05"/>
    <w:rsid w:val="2ECC1061"/>
    <w:rsid w:val="2FA476AD"/>
    <w:rsid w:val="303F7540"/>
    <w:rsid w:val="31DD00BF"/>
    <w:rsid w:val="3293174C"/>
    <w:rsid w:val="32BB38D4"/>
    <w:rsid w:val="32C9376D"/>
    <w:rsid w:val="33780472"/>
    <w:rsid w:val="33AF0905"/>
    <w:rsid w:val="355932F4"/>
    <w:rsid w:val="35611882"/>
    <w:rsid w:val="36746FC3"/>
    <w:rsid w:val="368763AE"/>
    <w:rsid w:val="395D59E7"/>
    <w:rsid w:val="39A93932"/>
    <w:rsid w:val="3A915562"/>
    <w:rsid w:val="3B8D4765"/>
    <w:rsid w:val="3C000DBA"/>
    <w:rsid w:val="3DC045D3"/>
    <w:rsid w:val="3E504FFB"/>
    <w:rsid w:val="3E615CD0"/>
    <w:rsid w:val="3E9C47F6"/>
    <w:rsid w:val="3F8B0112"/>
    <w:rsid w:val="3FAB3095"/>
    <w:rsid w:val="3FE45947"/>
    <w:rsid w:val="41242965"/>
    <w:rsid w:val="435671EA"/>
    <w:rsid w:val="43693981"/>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082039D"/>
    <w:rsid w:val="51331326"/>
    <w:rsid w:val="51740A7F"/>
    <w:rsid w:val="51A5541E"/>
    <w:rsid w:val="51C96242"/>
    <w:rsid w:val="53906AE1"/>
    <w:rsid w:val="54F46F60"/>
    <w:rsid w:val="55A37BEA"/>
    <w:rsid w:val="56362CD2"/>
    <w:rsid w:val="5784687B"/>
    <w:rsid w:val="57846959"/>
    <w:rsid w:val="578E6A87"/>
    <w:rsid w:val="5926624E"/>
    <w:rsid w:val="5AC2203A"/>
    <w:rsid w:val="5CBB3334"/>
    <w:rsid w:val="5D115FAF"/>
    <w:rsid w:val="62811722"/>
    <w:rsid w:val="62E75A72"/>
    <w:rsid w:val="64571880"/>
    <w:rsid w:val="649125B6"/>
    <w:rsid w:val="652F4C1A"/>
    <w:rsid w:val="65923C3E"/>
    <w:rsid w:val="666D37F1"/>
    <w:rsid w:val="67087D8F"/>
    <w:rsid w:val="671F687E"/>
    <w:rsid w:val="67F415F8"/>
    <w:rsid w:val="682640D1"/>
    <w:rsid w:val="684B73E5"/>
    <w:rsid w:val="6A047A2A"/>
    <w:rsid w:val="6EFB7548"/>
    <w:rsid w:val="6F3831C3"/>
    <w:rsid w:val="6F8B71C1"/>
    <w:rsid w:val="70753482"/>
    <w:rsid w:val="707B522A"/>
    <w:rsid w:val="717151C9"/>
    <w:rsid w:val="73194D05"/>
    <w:rsid w:val="73A83B0E"/>
    <w:rsid w:val="744D3EF9"/>
    <w:rsid w:val="74794411"/>
    <w:rsid w:val="75867C40"/>
    <w:rsid w:val="75B10B26"/>
    <w:rsid w:val="76432199"/>
    <w:rsid w:val="76F44829"/>
    <w:rsid w:val="77A267C0"/>
    <w:rsid w:val="77DE08E1"/>
    <w:rsid w:val="78882278"/>
    <w:rsid w:val="78B118A6"/>
    <w:rsid w:val="79135044"/>
    <w:rsid w:val="7A7D0F99"/>
    <w:rsid w:val="7D2F100E"/>
    <w:rsid w:val="7E4A0E7C"/>
    <w:rsid w:val="7EFD44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99"/>
    <w:pPr>
      <w:jc w:val="center"/>
    </w:pPr>
    <w:rPr>
      <w:rFonts w:eastAsia="黑体"/>
      <w:sz w:val="36"/>
      <w:szCs w:val="20"/>
    </w:rPr>
  </w:style>
  <w:style w:type="paragraph" w:styleId="4">
    <w:name w:val="Balloon Text"/>
    <w:basedOn w:val="1"/>
    <w:link w:val="13"/>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unhideWhenUsed/>
    <w:qFormat/>
    <w:uiPriority w:val="99"/>
    <w:rPr>
      <w:color w:val="800080"/>
      <w:u w:val="single"/>
    </w:rPr>
  </w:style>
  <w:style w:type="character" w:styleId="12">
    <w:name w:val="Hyperlink"/>
    <w:unhideWhenUsed/>
    <w:qFormat/>
    <w:uiPriority w:val="99"/>
    <w:rPr>
      <w:color w:val="0000FF"/>
      <w:u w:val="single"/>
    </w:rPr>
  </w:style>
  <w:style w:type="character" w:customStyle="1" w:styleId="13">
    <w:name w:val="批注框文本 Char"/>
    <w:link w:val="4"/>
    <w:semiHidden/>
    <w:qFormat/>
    <w:uiPriority w:val="99"/>
    <w:rPr>
      <w:kern w:val="2"/>
      <w:sz w:val="18"/>
      <w:szCs w:val="18"/>
    </w:rPr>
  </w:style>
  <w:style w:type="character" w:customStyle="1" w:styleId="14">
    <w:name w:val="页脚 Char"/>
    <w:link w:val="5"/>
    <w:qFormat/>
    <w:uiPriority w:val="99"/>
    <w:rPr>
      <w:kern w:val="2"/>
      <w:sz w:val="18"/>
      <w:szCs w:val="18"/>
    </w:rPr>
  </w:style>
  <w:style w:type="character" w:customStyle="1" w:styleId="15">
    <w:name w:val="页眉 Char"/>
    <w:link w:val="6"/>
    <w:qFormat/>
    <w:uiPriority w:val="99"/>
    <w:rPr>
      <w:kern w:val="2"/>
      <w:sz w:val="18"/>
      <w:szCs w:val="18"/>
    </w:rPr>
  </w:style>
  <w:style w:type="character" w:customStyle="1" w:styleId="16">
    <w:name w:val="font01"/>
    <w:qFormat/>
    <w:uiPriority w:val="0"/>
    <w:rPr>
      <w:rFonts w:hint="eastAsia" w:ascii="宋体" w:hAnsi="宋体" w:eastAsia="宋体" w:cs="宋体"/>
      <w:color w:val="000000"/>
      <w:sz w:val="22"/>
      <w:szCs w:val="22"/>
      <w:u w:val="none"/>
    </w:rPr>
  </w:style>
  <w:style w:type="character" w:customStyle="1" w:styleId="17">
    <w:name w:val="font21"/>
    <w:qFormat/>
    <w:uiPriority w:val="0"/>
    <w:rPr>
      <w:rFonts w:hint="eastAsia" w:ascii="宋体" w:hAnsi="宋体" w:eastAsia="宋体" w:cs="宋体"/>
      <w:color w:val="000000"/>
      <w:sz w:val="22"/>
      <w:szCs w:val="22"/>
      <w:u w:val="none"/>
    </w:rPr>
  </w:style>
  <w:style w:type="character" w:customStyle="1" w:styleId="18">
    <w:name w:val="font51"/>
    <w:qFormat/>
    <w:uiPriority w:val="0"/>
    <w:rPr>
      <w:rFonts w:hint="eastAsia" w:ascii="宋体" w:hAnsi="宋体" w:eastAsia="宋体" w:cs="宋体"/>
      <w:color w:val="000000"/>
      <w:sz w:val="24"/>
      <w:szCs w:val="24"/>
      <w:u w:val="none"/>
    </w:rPr>
  </w:style>
  <w:style w:type="character" w:customStyle="1" w:styleId="19">
    <w:name w:val="font11"/>
    <w:qFormat/>
    <w:uiPriority w:val="0"/>
    <w:rPr>
      <w:rFonts w:hint="eastAsia" w:ascii="宋体" w:hAnsi="宋体" w:eastAsia="宋体" w:cs="宋体"/>
      <w:color w:val="000000"/>
      <w:sz w:val="20"/>
      <w:szCs w:val="20"/>
      <w:u w:val="none"/>
    </w:rPr>
  </w:style>
  <w:style w:type="character" w:customStyle="1" w:styleId="20">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28</Pages>
  <Words>6391</Words>
  <Characters>7549</Characters>
  <Lines>60</Lines>
  <Paragraphs>16</Paragraphs>
  <TotalTime>0</TotalTime>
  <ScaleCrop>false</ScaleCrop>
  <LinksUpToDate>false</LinksUpToDate>
  <CharactersWithSpaces>7734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2007-11-29T03:41:00Z</dcterms:created>
  <dc:creator>管理者</dc:creator>
  <cp:lastModifiedBy>Administrator</cp:lastModifiedBy>
  <cp:lastPrinted>2018-07-24T10:50:00Z</cp:lastPrinted>
  <dcterms:modified xsi:type="dcterms:W3CDTF">2022-09-15T08:50:27Z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982F1DB1198141F7B15904A8E59E249F</vt:lpwstr>
  </property>
</Properties>
</file>