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202</w:t>
      </w:r>
      <w:r>
        <w:rPr>
          <w:rFonts w:hint="eastAsia" w:ascii="黑体" w:hAnsi="黑体" w:eastAsia="黑体" w:cs="黑体"/>
          <w:sz w:val="52"/>
          <w:szCs w:val="52"/>
          <w:highlight w:val="none"/>
          <w:lang w:val="en-US" w:eastAsia="zh-CN"/>
        </w:rPr>
        <w:t>1</w:t>
      </w:r>
      <w:r>
        <w:rPr>
          <w:rFonts w:hint="eastAsia" w:ascii="黑体" w:hAnsi="黑体" w:eastAsia="黑体" w:cs="黑体"/>
          <w:sz w:val="52"/>
          <w:szCs w:val="52"/>
          <w:highlight w:val="none"/>
        </w:rPr>
        <w:t>年度</w:t>
      </w:r>
    </w:p>
    <w:p>
      <w:pPr>
        <w:jc w:val="center"/>
        <w:rPr>
          <w:rFonts w:hint="eastAsia" w:ascii="黑体" w:hAnsi="黑体" w:eastAsia="黑体" w:cs="黑体"/>
          <w:sz w:val="52"/>
          <w:szCs w:val="52"/>
          <w:highlight w:val="none"/>
          <w:lang w:eastAsia="zh-CN"/>
        </w:rPr>
      </w:pPr>
      <w:r>
        <w:rPr>
          <w:rFonts w:hint="eastAsia" w:ascii="黑体" w:hAnsi="黑体" w:eastAsia="黑体" w:cs="黑体"/>
          <w:sz w:val="52"/>
          <w:szCs w:val="52"/>
          <w:highlight w:val="none"/>
        </w:rPr>
        <w:t>中共许昌市建安区委宣传部</w:t>
      </w:r>
      <w:r>
        <w:rPr>
          <w:rFonts w:hint="eastAsia" w:ascii="黑体" w:hAnsi="黑体" w:eastAsia="黑体" w:cs="黑体"/>
          <w:sz w:val="52"/>
          <w:szCs w:val="52"/>
          <w:highlight w:val="none"/>
          <w:lang w:eastAsia="zh-CN"/>
        </w:rPr>
        <w:t>（本级）</w:t>
      </w:r>
    </w:p>
    <w:p>
      <w:pPr>
        <w:jc w:val="center"/>
        <w:rPr>
          <w:rFonts w:hint="eastAsia" w:ascii="黑体" w:hAnsi="黑体" w:eastAsia="黑体" w:cs="黑体"/>
          <w:sz w:val="52"/>
          <w:szCs w:val="52"/>
          <w:highlight w:val="none"/>
        </w:rPr>
      </w:pPr>
      <w:r>
        <w:rPr>
          <w:rFonts w:hint="eastAsia" w:ascii="黑体" w:hAnsi="黑体" w:eastAsia="黑体" w:cs="黑体"/>
          <w:sz w:val="52"/>
          <w:szCs w:val="52"/>
          <w:highlight w:val="none"/>
        </w:rPr>
        <w:t>部门决算</w:t>
      </w: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52"/>
          <w:szCs w:val="52"/>
          <w:highlight w:val="none"/>
        </w:rPr>
      </w:pPr>
    </w:p>
    <w:p>
      <w:pPr>
        <w:jc w:val="center"/>
        <w:rPr>
          <w:rFonts w:hint="eastAsia" w:ascii="黑体" w:hAnsi="黑体" w:eastAsia="黑体" w:cs="黑体"/>
          <w:sz w:val="32"/>
          <w:szCs w:val="32"/>
          <w:highlight w:val="none"/>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highlight w:val="none"/>
        </w:rPr>
        <w:t>二〇二</w:t>
      </w: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年九月</w:t>
      </w:r>
    </w:p>
    <w:p>
      <w:pPr>
        <w:jc w:val="center"/>
        <w:rPr>
          <w:rFonts w:ascii="黑体" w:hAnsi="黑体" w:eastAsia="黑体" w:cs="黑体"/>
          <w:sz w:val="36"/>
          <w:szCs w:val="36"/>
          <w:highlight w:val="none"/>
        </w:rPr>
      </w:pPr>
      <w:r>
        <w:rPr>
          <w:rFonts w:hint="eastAsia" w:ascii="黑体" w:hAnsi="黑体" w:eastAsia="黑体" w:cs="黑体"/>
          <w:sz w:val="36"/>
          <w:szCs w:val="36"/>
          <w:highlight w:val="none"/>
        </w:rPr>
        <w:t>目　　录</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第一部分　　中共许昌市建安区委宣传部</w:t>
      </w:r>
      <w:r>
        <w:rPr>
          <w:rFonts w:hint="eastAsia" w:ascii="黑体" w:hAnsi="黑体" w:eastAsia="黑体" w:cs="黑体"/>
          <w:sz w:val="32"/>
          <w:szCs w:val="32"/>
          <w:highlight w:val="none"/>
          <w:lang w:eastAsia="zh-CN"/>
        </w:rPr>
        <w:t>（本级）</w:t>
      </w:r>
      <w:r>
        <w:rPr>
          <w:rFonts w:hint="eastAsia" w:ascii="黑体" w:hAnsi="黑体" w:eastAsia="黑体" w:cs="黑体"/>
          <w:sz w:val="32"/>
          <w:szCs w:val="32"/>
          <w:highlight w:val="none"/>
        </w:rPr>
        <w:t>概况</w:t>
      </w:r>
    </w:p>
    <w:p>
      <w:pPr>
        <w:numPr>
          <w:ilvl w:val="0"/>
          <w:numId w:val="1"/>
        </w:numPr>
        <w:ind w:firstLine="640" w:firstLineChars="200"/>
        <w:jc w:val="left"/>
        <w:rPr>
          <w:rFonts w:ascii="宋体" w:hAnsi="宋体" w:cs="宋体"/>
          <w:sz w:val="32"/>
          <w:szCs w:val="32"/>
          <w:highlight w:val="none"/>
        </w:rPr>
      </w:pPr>
      <w:r>
        <w:rPr>
          <w:rFonts w:hint="eastAsia" w:ascii="宋体" w:hAnsi="宋体" w:cs="宋体"/>
          <w:sz w:val="32"/>
          <w:szCs w:val="32"/>
          <w:highlight w:val="none"/>
        </w:rPr>
        <w:t>部门职责</w:t>
      </w:r>
    </w:p>
    <w:p>
      <w:pPr>
        <w:numPr>
          <w:ilvl w:val="0"/>
          <w:numId w:val="1"/>
        </w:numPr>
        <w:ind w:firstLine="640" w:firstLineChars="200"/>
        <w:jc w:val="left"/>
        <w:rPr>
          <w:rFonts w:ascii="宋体" w:hAnsi="宋体" w:cs="宋体"/>
          <w:sz w:val="32"/>
          <w:szCs w:val="32"/>
          <w:highlight w:val="none"/>
        </w:rPr>
      </w:pPr>
      <w:r>
        <w:rPr>
          <w:rFonts w:hint="eastAsia" w:ascii="宋体" w:hAnsi="宋体" w:cs="宋体"/>
          <w:sz w:val="32"/>
          <w:szCs w:val="32"/>
          <w:highlight w:val="none"/>
        </w:rPr>
        <w:t>机构设置</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　　202</w:t>
      </w:r>
      <w:r>
        <w:rPr>
          <w:rFonts w:hint="eastAsia" w:ascii="黑体" w:hAnsi="黑体" w:eastAsia="黑体" w:cs="黑体"/>
          <w:sz w:val="32"/>
          <w:szCs w:val="32"/>
          <w:highlight w:val="none"/>
          <w:lang w:val="en-US" w:eastAsia="zh-CN"/>
        </w:rPr>
        <w:t>1</w:t>
      </w:r>
      <w:r>
        <w:rPr>
          <w:rFonts w:hint="eastAsia" w:ascii="黑体" w:hAnsi="黑体" w:eastAsia="黑体" w:cs="黑体"/>
          <w:sz w:val="32"/>
          <w:szCs w:val="32"/>
          <w:highlight w:val="none"/>
        </w:rPr>
        <w:t>年度部门决算表</w:t>
      </w:r>
    </w:p>
    <w:p>
      <w:pPr>
        <w:ind w:firstLine="640" w:firstLineChars="200"/>
        <w:jc w:val="left"/>
        <w:rPr>
          <w:rFonts w:ascii="宋体" w:hAnsi="宋体" w:cs="宋体"/>
          <w:sz w:val="32"/>
          <w:szCs w:val="32"/>
          <w:highlight w:val="none"/>
        </w:rPr>
      </w:pPr>
      <w:r>
        <w:rPr>
          <w:rFonts w:hint="eastAsia" w:ascii="宋体" w:hAnsi="宋体" w:cs="宋体"/>
          <w:sz w:val="32"/>
          <w:szCs w:val="32"/>
          <w:highlight w:val="none"/>
        </w:rPr>
        <w:t>一、收入支出决算总表</w:t>
      </w:r>
    </w:p>
    <w:p>
      <w:pPr>
        <w:ind w:firstLine="640" w:firstLineChars="200"/>
        <w:jc w:val="left"/>
        <w:rPr>
          <w:rFonts w:ascii="宋体" w:hAnsi="宋体" w:cs="宋体"/>
          <w:sz w:val="32"/>
          <w:szCs w:val="32"/>
          <w:highlight w:val="none"/>
        </w:rPr>
      </w:pPr>
      <w:r>
        <w:rPr>
          <w:rFonts w:hint="eastAsia" w:ascii="宋体" w:hAnsi="宋体" w:cs="宋体"/>
          <w:sz w:val="32"/>
          <w:szCs w:val="32"/>
          <w:highlight w:val="none"/>
        </w:rPr>
        <w:t>二、收入决算表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三、支出决算表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四、财政拨款收入支出决算总表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五、一般公共预算财政拨款支出决算表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六、一般公共预算财政拨款基本支出决算表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七、一般公共预算财政拨款“三公”经费支出决算表</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八、政府性基金预算财政拨款收入支出决算表</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第三部分　　202</w:t>
      </w:r>
      <w:r>
        <w:rPr>
          <w:rFonts w:hint="eastAsia" w:ascii="黑体" w:hAnsi="黑体" w:eastAsia="黑体" w:cs="黑体"/>
          <w:sz w:val="32"/>
          <w:szCs w:val="32"/>
          <w:highlight w:val="none"/>
          <w:lang w:val="en-US" w:eastAsia="zh-CN"/>
        </w:rPr>
        <w:t>1</w:t>
      </w:r>
      <w:r>
        <w:rPr>
          <w:rFonts w:hint="eastAsia" w:ascii="黑体" w:hAnsi="黑体" w:eastAsia="黑体" w:cs="黑体"/>
          <w:sz w:val="32"/>
          <w:szCs w:val="32"/>
          <w:highlight w:val="none"/>
        </w:rPr>
        <w:t>年度部门决算情况说明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一、收入支出决算总体情况说明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二、收入决算情况说明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三、支出决算情况说明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四、财政拨款收入支出决算总体情况说明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五、一般公共预算财政拨款支出决算情况说明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六、一般公共预算财政拨款基本支出决算情况说明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七、一般公共预算财政拨款“三公”经费支出决算情况说明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八、预算绩效情况说明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九、政府性基金预算财政拨款支出决算情况说明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十、机关运行经费支出情况说明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十一、政府采购支出情况说明</w:t>
      </w:r>
    </w:p>
    <w:p>
      <w:pPr>
        <w:ind w:firstLine="640" w:firstLineChars="200"/>
        <w:jc w:val="left"/>
        <w:rPr>
          <w:rFonts w:hint="eastAsia" w:ascii="宋体" w:hAnsi="宋体" w:cs="宋体"/>
          <w:sz w:val="32"/>
          <w:szCs w:val="32"/>
          <w:highlight w:val="none"/>
        </w:rPr>
      </w:pPr>
      <w:r>
        <w:rPr>
          <w:rFonts w:hint="eastAsia" w:ascii="宋体" w:hAnsi="宋体" w:cs="宋体"/>
          <w:sz w:val="32"/>
          <w:szCs w:val="32"/>
          <w:highlight w:val="none"/>
        </w:rPr>
        <w:t>十二、国有资产占用情况说明</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宋体" w:hAnsi="宋体" w:cs="宋体"/>
          <w:sz w:val="32"/>
          <w:szCs w:val="32"/>
          <w:highlight w:val="none"/>
        </w:rPr>
      </w:pPr>
    </w:p>
    <w:p>
      <w:pPr>
        <w:jc w:val="left"/>
        <w:rPr>
          <w:rFonts w:hint="eastAsia" w:ascii="黑体" w:hAnsi="黑体" w:eastAsia="黑体" w:cs="黑体"/>
          <w:sz w:val="32"/>
          <w:szCs w:val="32"/>
          <w:highlight w:val="none"/>
        </w:rPr>
        <w:sectPr>
          <w:footerReference r:id="rId3" w:type="default"/>
          <w:footerReference r:id="rId4" w:type="even"/>
          <w:pgSz w:w="11906" w:h="16838"/>
          <w:pgMar w:top="1440" w:right="1531" w:bottom="1440" w:left="1587" w:header="850" w:footer="992" w:gutter="0"/>
          <w:pgNumType w:fmt="numberInDash" w:start="1"/>
          <w:cols w:space="720" w:num="1"/>
          <w:docGrid w:type="lines" w:linePitch="317" w:charSpace="0"/>
        </w:sect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center"/>
        <w:outlineLvl w:val="0"/>
        <w:rPr>
          <w:rFonts w:hint="eastAsia" w:ascii="黑体" w:hAnsi="宋体" w:eastAsia="黑体" w:cs="宋体"/>
          <w:kern w:val="0"/>
          <w:sz w:val="28"/>
          <w:szCs w:val="28"/>
          <w:highlight w:val="none"/>
        </w:rPr>
      </w:pPr>
      <w:r>
        <w:rPr>
          <w:rFonts w:hint="eastAsia" w:ascii="黑体" w:hAnsi="黑体" w:eastAsia="黑体" w:cs="黑体"/>
          <w:sz w:val="48"/>
          <w:szCs w:val="48"/>
          <w:highlight w:val="none"/>
        </w:rPr>
        <w:t>第一部分  中共许昌市建安区委宣传部</w:t>
      </w:r>
      <w:r>
        <w:rPr>
          <w:rFonts w:hint="eastAsia" w:ascii="黑体" w:hAnsi="黑体" w:eastAsia="黑体" w:cs="黑体"/>
          <w:sz w:val="48"/>
          <w:szCs w:val="48"/>
          <w:highlight w:val="none"/>
          <w:lang w:eastAsia="zh-CN"/>
        </w:rPr>
        <w:t>（本级）</w:t>
      </w:r>
      <w:r>
        <w:rPr>
          <w:rFonts w:hint="eastAsia" w:ascii="黑体" w:hAnsi="黑体" w:eastAsia="黑体" w:cs="黑体"/>
          <w:sz w:val="48"/>
          <w:szCs w:val="48"/>
          <w:highlight w:val="none"/>
        </w:rPr>
        <w:t>概况</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sectPr>
          <w:pgSz w:w="11906" w:h="16838"/>
          <w:pgMar w:top="1440" w:right="1800" w:bottom="1440" w:left="1800" w:header="720" w:footer="720" w:gutter="0"/>
          <w:pgNumType w:fmt="numberInDash"/>
          <w:cols w:space="720" w:num="1"/>
          <w:docGrid w:type="lines" w:linePitch="312" w:charSpace="0"/>
        </w:sectPr>
      </w:pPr>
    </w:p>
    <w:p>
      <w:pPr>
        <w:widowControl/>
        <w:ind w:firstLine="640" w:firstLineChars="200"/>
        <w:jc w:val="left"/>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一、部门</w:t>
      </w:r>
      <w:r>
        <w:rPr>
          <w:rFonts w:hint="eastAsia" w:ascii="黑体" w:hAnsi="黑体" w:eastAsia="黑体" w:cs="黑体"/>
          <w:bCs/>
          <w:sz w:val="32"/>
          <w:szCs w:val="32"/>
          <w:highlight w:val="none"/>
        </w:rPr>
        <w:t>职责</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一）贯彻落实党中央关于宣传思想文化、网络安全和信息化工作的方针政策和省委、市委、区委决策部署，拟订全区宣传思想文化事业发展规划，统筹协调推进宣传思想文化领域法治建设，按照区委统一部署，协调宣传思想文化系统各部门之间的工作。</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（二）贯彻落实党中央、省委、市委、区委关于意识形态工作的决策部署，统筹协调全区党的意识形态工作，组织协调意识形态工作责任制落实和日常监督检查，结合巡视巡察工作开展专项检查。</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（三）统筹指导协调全区的理论研究、理论学习和理论宣传工作，组织推动理论武装工作。</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四）负责规划组织全区思想政治工作，组织全区重大先进典型的选树、宣传、学习，配合区委组织部做好党员教育工作，指导协调编写党员教育教材，会同有关部门研究和改进群众思想教育工作，负责组织开展宣传思想文化系统人才工作和干部教育培训。</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（五）统筹分析研判和引导社会舆论，统筹指导协调监督管理全区新闻单位工作，组织全区突发公共事件应急新闻工作。</w:t>
      </w:r>
    </w:p>
    <w:p>
      <w:pPr>
        <w:ind w:firstLine="640" w:firstLineChars="200"/>
        <w:jc w:val="right"/>
        <w:rPr>
          <w:rFonts w:hint="eastAsia" w:ascii="仿宋_GB2312" w:hAnsi="仿宋_GB2312" w:eastAsia="仿宋_GB2312" w:cs="仿宋_GB2312"/>
          <w:kern w:val="0"/>
          <w:sz w:val="32"/>
          <w:szCs w:val="32"/>
          <w:highlight w:val="none"/>
          <w:lang w:eastAsia="zh-CN"/>
        </w:rPr>
      </w:pPr>
      <w:r>
        <w:rPr>
          <w:rFonts w:ascii="仿宋_GB2312" w:hAnsi="仿宋_GB2312" w:eastAsia="仿宋_GB2312" w:cs="仿宋_GB2312"/>
          <w:kern w:val="0"/>
          <w:sz w:val="32"/>
          <w:szCs w:val="32"/>
          <w:highlight w:val="none"/>
        </w:rPr>
        <w:t>（六）拟订全区新闻出版业的规范性文件并督促落实，管理新闻出版行政事务，组织协调有关行政审批工作。统筹规划和指导协调新闻出版事业、产业发展，监督管理出版物内容和质量，监督管理印刷业，管理著作权，管理出版物进出口等。负责全区新闻记者证的监督管理。组织指导协调</w:t>
      </w:r>
      <w:r>
        <w:rPr>
          <w:rFonts w:hint="eastAsia" w:ascii="仿宋_GB2312" w:hAnsi="仿宋_GB2312" w:eastAsia="仿宋_GB2312" w:cs="仿宋_GB2312"/>
          <w:kern w:val="0"/>
          <w:sz w:val="32"/>
          <w:szCs w:val="32"/>
          <w:highlight w:val="none"/>
          <w:lang w:eastAsia="zh-CN"/>
        </w:rPr>
        <w:t>。</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（七）统筹指导协调互联网宣传和信息内容管理工作。统筹协调融媒体的建设与管理。</w:t>
      </w:r>
    </w:p>
    <w:p>
      <w:pPr>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 xml:space="preserve">    （八）统筹指导协调推动精神文化产品的创作和生产，协调组织优秀传统文化传承发展有关工作，指导协调推动群众文化建设。</w:t>
      </w:r>
    </w:p>
    <w:p>
      <w:pPr>
        <w:ind w:firstLine="636"/>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（九）负责管理电影行政事务，指导监管电影制片、发行、放映工作，组织对电影内容进行审查，指导协调重大电影活动。</w:t>
      </w:r>
    </w:p>
    <w:p>
      <w:pPr>
        <w:ind w:firstLine="636"/>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（十）对新闻出版、广播影视、文化艺术业改革发展研究提出相关建议，统筹指导协调文化体制改革和文化事业、文化产业及旅游业发展，指导协调国有文化企业监督管理工作。</w:t>
      </w:r>
    </w:p>
    <w:p>
      <w:pPr>
        <w:ind w:firstLine="636"/>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（十一）统筹指导舆情信息工作，组织协调开展全区舆情信息收集分析研判工作，跟踪了解、研究掌握宣传舆情动态。</w:t>
      </w:r>
    </w:p>
    <w:p>
      <w:pPr>
        <w:ind w:firstLine="636"/>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（十二）统筹协调全区对外宣传工作，指导协调有关部门研究拟订对外宣传工作相关措施和对外宣传事业发展规划。指导对外文化交流工作。会同有关部门做好境外媒体记者在全区采访的服务引导工作。</w:t>
      </w:r>
    </w:p>
    <w:p>
      <w:pPr>
        <w:ind w:firstLine="636"/>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（十三）统筹协调组织开展新闻发布工作，承担区委新闻发布有关组织协调工作，负责区政府新闻发布组织实施工作，指导协调区直各部门和各乡镇（街道）的新闻发布工作，推动新闻发言人制度建设。</w:t>
      </w:r>
    </w:p>
    <w:p>
      <w:pPr>
        <w:ind w:firstLine="636"/>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（十四）贯彻落实党中央关于加强社会主义精神文明建设的方针政策和省委、市委、区委有关部署，在</w:t>
      </w:r>
      <w:r>
        <w:rPr>
          <w:rFonts w:hint="eastAsia" w:ascii="仿宋_GB2312" w:hAnsi="仿宋_GB2312" w:eastAsia="仿宋_GB2312" w:cs="仿宋_GB2312"/>
          <w:kern w:val="0"/>
          <w:sz w:val="32"/>
          <w:szCs w:val="32"/>
          <w:highlight w:val="none"/>
        </w:rPr>
        <w:t>许昌市建安</w:t>
      </w:r>
      <w:r>
        <w:rPr>
          <w:rFonts w:ascii="仿宋_GB2312" w:hAnsi="仿宋_GB2312" w:eastAsia="仿宋_GB2312" w:cs="仿宋_GB2312"/>
          <w:kern w:val="0"/>
          <w:sz w:val="32"/>
          <w:szCs w:val="32"/>
          <w:highlight w:val="none"/>
        </w:rPr>
        <w:t>区精神文明建设指导委员会指导下统筹协调、指导推动全区精神文明建设工作，组织开展全区群众性精神文明创建活动，评选表彰精神文明建设先进典型，总结推广先进经验。</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十五）研究拟订全区网络安全和信息化发展的有关规范性文件和规划；统筹推进网络安全和信息化领域国家标准的组织实施；依法履行全区网络安全和信息化行政管理职能。负责全区互联网信息内容管理，统筹协调组织互联网宣传管理和舆论引导工作，维护网络意识形态安全。</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（十六）指导协调</w:t>
      </w:r>
      <w:r>
        <w:rPr>
          <w:rFonts w:hint="eastAsia" w:ascii="仿宋_GB2312" w:hAnsi="仿宋_GB2312" w:eastAsia="仿宋_GB2312" w:cs="仿宋_GB2312"/>
          <w:kern w:val="0"/>
          <w:sz w:val="32"/>
          <w:szCs w:val="32"/>
          <w:highlight w:val="none"/>
        </w:rPr>
        <w:t>许昌市建安</w:t>
      </w:r>
      <w:r>
        <w:rPr>
          <w:rFonts w:ascii="仿宋_GB2312" w:hAnsi="仿宋_GB2312" w:eastAsia="仿宋_GB2312" w:cs="仿宋_GB2312"/>
          <w:kern w:val="0"/>
          <w:sz w:val="32"/>
          <w:szCs w:val="32"/>
          <w:highlight w:val="none"/>
        </w:rPr>
        <w:t>区文联、</w:t>
      </w:r>
      <w:r>
        <w:rPr>
          <w:rFonts w:hint="eastAsia" w:ascii="仿宋_GB2312" w:hAnsi="仿宋_GB2312" w:eastAsia="仿宋_GB2312" w:cs="仿宋_GB2312"/>
          <w:kern w:val="0"/>
          <w:sz w:val="32"/>
          <w:szCs w:val="32"/>
          <w:highlight w:val="none"/>
        </w:rPr>
        <w:t>许昌市建安</w:t>
      </w:r>
      <w:r>
        <w:rPr>
          <w:rFonts w:ascii="仿宋_GB2312" w:hAnsi="仿宋_GB2312" w:eastAsia="仿宋_GB2312" w:cs="仿宋_GB2312"/>
          <w:kern w:val="0"/>
          <w:sz w:val="32"/>
          <w:szCs w:val="32"/>
          <w:highlight w:val="none"/>
        </w:rPr>
        <w:t>区文化广电和旅游局，对</w:t>
      </w:r>
      <w:r>
        <w:rPr>
          <w:rFonts w:hint="eastAsia" w:ascii="仿宋_GB2312" w:hAnsi="仿宋_GB2312" w:eastAsia="仿宋_GB2312" w:cs="仿宋_GB2312"/>
          <w:kern w:val="0"/>
          <w:sz w:val="32"/>
          <w:szCs w:val="32"/>
          <w:highlight w:val="none"/>
        </w:rPr>
        <w:t>许昌市建安</w:t>
      </w:r>
      <w:r>
        <w:rPr>
          <w:rFonts w:ascii="仿宋_GB2312" w:hAnsi="仿宋_GB2312" w:eastAsia="仿宋_GB2312" w:cs="仿宋_GB2312"/>
          <w:kern w:val="0"/>
          <w:sz w:val="32"/>
          <w:szCs w:val="32"/>
          <w:highlight w:val="none"/>
        </w:rPr>
        <w:t>区新闻信息中心实施领导。</w:t>
      </w:r>
    </w:p>
    <w:p>
      <w:pPr>
        <w:ind w:firstLine="640" w:firstLineChars="200"/>
        <w:rPr>
          <w:rFonts w:ascii="仿宋_GB2312" w:hAnsi="仿宋_GB2312" w:eastAsia="仿宋_GB2312" w:cs="仿宋_GB2312"/>
          <w:kern w:val="0"/>
          <w:sz w:val="32"/>
          <w:szCs w:val="32"/>
          <w:highlight w:val="none"/>
        </w:rPr>
      </w:pPr>
      <w:r>
        <w:rPr>
          <w:rFonts w:ascii="仿宋_GB2312" w:hAnsi="仿宋_GB2312" w:eastAsia="仿宋_GB2312" w:cs="仿宋_GB2312"/>
          <w:kern w:val="0"/>
          <w:sz w:val="32"/>
          <w:szCs w:val="32"/>
          <w:highlight w:val="none"/>
        </w:rPr>
        <w:t>（十七）完成区委交办的其他任务。</w:t>
      </w:r>
    </w:p>
    <w:p>
      <w:pPr>
        <w:spacing w:line="600" w:lineRule="exact"/>
        <w:ind w:firstLine="640" w:firstLineChars="200"/>
        <w:rPr>
          <w:rFonts w:hint="eastAsia" w:ascii="仿宋_GB2312" w:hAnsi="宋体" w:eastAsia="仿宋_GB2312" w:cs="宋体"/>
          <w:kern w:val="0"/>
          <w:sz w:val="32"/>
          <w:szCs w:val="32"/>
          <w:highlight w:val="none"/>
        </w:rPr>
      </w:pPr>
      <w:r>
        <w:rPr>
          <w:rFonts w:ascii="仿宋_GB2312" w:hAnsi="仿宋_GB2312" w:eastAsia="仿宋_GB2312" w:cs="仿宋_GB2312"/>
          <w:kern w:val="0"/>
          <w:sz w:val="32"/>
          <w:szCs w:val="32"/>
          <w:highlight w:val="none"/>
        </w:rPr>
        <w:t>（十八）有关职责分工。区委宣传部负责对出版环节的动漫、游戏出版物的网上出版发行进行管理。</w:t>
      </w:r>
      <w:r>
        <w:rPr>
          <w:rFonts w:hint="eastAsia" w:ascii="仿宋_GB2312" w:hAnsi="仿宋_GB2312" w:eastAsia="仿宋_GB2312" w:cs="仿宋_GB2312"/>
          <w:kern w:val="0"/>
          <w:sz w:val="32"/>
          <w:szCs w:val="32"/>
          <w:highlight w:val="none"/>
        </w:rPr>
        <w:t>许昌市建安</w:t>
      </w:r>
      <w:r>
        <w:rPr>
          <w:rFonts w:ascii="仿宋_GB2312" w:hAnsi="仿宋_GB2312" w:eastAsia="仿宋_GB2312" w:cs="仿宋_GB2312"/>
          <w:kern w:val="0"/>
          <w:sz w:val="32"/>
          <w:szCs w:val="32"/>
          <w:highlight w:val="none"/>
        </w:rPr>
        <w:t>区文化广电和旅游局负责动漫和网络游戏相关产业规划、产业基地、项目建设、会展交易和市场监管，负责对影视动漫和网络视听节目中的动漫节目进行管理</w:t>
      </w:r>
      <w:r>
        <w:rPr>
          <w:rFonts w:hint="eastAsia" w:ascii="仿宋_GB2312" w:hAnsi="宋体" w:eastAsia="仿宋_GB2312" w:cs="宋体"/>
          <w:kern w:val="0"/>
          <w:sz w:val="32"/>
          <w:szCs w:val="32"/>
          <w:highlight w:val="none"/>
        </w:rPr>
        <w:t>。</w:t>
      </w:r>
    </w:p>
    <w:p>
      <w:pPr>
        <w:widowControl/>
        <w:ind w:firstLine="640" w:firstLineChars="200"/>
        <w:jc w:val="left"/>
        <w:outlineLvl w:val="1"/>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二、机构设置</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中共许昌市建安区</w:t>
      </w:r>
      <w:r>
        <w:rPr>
          <w:rFonts w:hint="eastAsia" w:ascii="仿宋_GB2312" w:hAnsi="仿宋_GB2312" w:eastAsia="仿宋_GB2312" w:cs="仿宋_GB2312"/>
          <w:kern w:val="0"/>
          <w:sz w:val="32"/>
          <w:szCs w:val="32"/>
          <w:highlight w:val="none"/>
          <w:lang w:eastAsia="zh-CN"/>
        </w:rPr>
        <w:t>委</w:t>
      </w:r>
      <w:r>
        <w:rPr>
          <w:rFonts w:hint="eastAsia" w:ascii="仿宋_GB2312" w:hAnsi="仿宋_GB2312" w:eastAsia="仿宋_GB2312" w:cs="仿宋_GB2312"/>
          <w:kern w:val="0"/>
          <w:sz w:val="32"/>
          <w:szCs w:val="32"/>
          <w:highlight w:val="none"/>
        </w:rPr>
        <w:t>宣传部</w:t>
      </w:r>
      <w:r>
        <w:rPr>
          <w:rFonts w:hint="eastAsia" w:ascii="仿宋_GB2312" w:hAnsi="仿宋_GB2312" w:eastAsia="仿宋_GB2312" w:cs="仿宋_GB2312"/>
          <w:kern w:val="0"/>
          <w:sz w:val="32"/>
          <w:szCs w:val="32"/>
          <w:highlight w:val="none"/>
          <w:lang w:eastAsia="zh-CN"/>
        </w:rPr>
        <w:t>（本级）</w:t>
      </w:r>
      <w:r>
        <w:rPr>
          <w:rFonts w:hint="eastAsia" w:ascii="仿宋_GB2312" w:hAnsi="仿宋_GB2312" w:eastAsia="仿宋_GB2312" w:cs="仿宋_GB2312"/>
          <w:kern w:val="0"/>
          <w:sz w:val="32"/>
          <w:szCs w:val="32"/>
          <w:highlight w:val="none"/>
        </w:rPr>
        <w:t>内设机构6个，包括：</w:t>
      </w:r>
      <w:r>
        <w:rPr>
          <w:rFonts w:ascii="仿宋_GB2312" w:hAnsi="仿宋_GB2312" w:eastAsia="仿宋_GB2312" w:cs="仿宋_GB2312"/>
          <w:kern w:val="0"/>
          <w:sz w:val="32"/>
          <w:szCs w:val="32"/>
          <w:highlight w:val="none"/>
        </w:rPr>
        <w:t>办公室</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宣教股</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理论股</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新闻股</w:t>
      </w:r>
      <w:r>
        <w:rPr>
          <w:rFonts w:hint="eastAsia" w:ascii="仿宋_GB2312" w:hAnsi="仿宋_GB2312" w:eastAsia="仿宋_GB2312" w:cs="仿宋_GB2312"/>
          <w:kern w:val="0"/>
          <w:sz w:val="32"/>
          <w:szCs w:val="32"/>
          <w:highlight w:val="none"/>
        </w:rPr>
        <w:t>、新闻出版管理和</w:t>
      </w:r>
      <w:r>
        <w:rPr>
          <w:rFonts w:ascii="仿宋_GB2312" w:hAnsi="仿宋_GB2312" w:eastAsia="仿宋_GB2312" w:cs="仿宋_GB2312"/>
          <w:kern w:val="0"/>
          <w:sz w:val="32"/>
          <w:szCs w:val="32"/>
          <w:highlight w:val="none"/>
        </w:rPr>
        <w:t>文教股</w:t>
      </w:r>
      <w:r>
        <w:rPr>
          <w:rFonts w:hint="eastAsia"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对外宣传办公室</w:t>
      </w:r>
      <w:r>
        <w:rPr>
          <w:rFonts w:hint="eastAsia" w:ascii="仿宋_GB2312" w:hAnsi="仿宋_GB2312" w:eastAsia="仿宋_GB2312" w:cs="仿宋_GB2312"/>
          <w:kern w:val="0"/>
          <w:sz w:val="32"/>
          <w:szCs w:val="32"/>
          <w:highlight w:val="none"/>
        </w:rPr>
        <w:t>。二级</w:t>
      </w:r>
      <w:r>
        <w:rPr>
          <w:rFonts w:ascii="仿宋_GB2312" w:hAnsi="仿宋_GB2312" w:eastAsia="仿宋_GB2312" w:cs="仿宋_GB2312"/>
          <w:kern w:val="0"/>
          <w:sz w:val="32"/>
          <w:szCs w:val="32"/>
          <w:highlight w:val="none"/>
        </w:rPr>
        <w:t>单位两个，分别是</w:t>
      </w:r>
      <w:r>
        <w:rPr>
          <w:rFonts w:hint="eastAsia" w:ascii="仿宋_GB2312" w:hAnsi="仿宋_GB2312" w:eastAsia="仿宋_GB2312" w:cs="仿宋_GB2312"/>
          <w:sz w:val="32"/>
          <w:szCs w:val="32"/>
          <w:highlight w:val="none"/>
        </w:rPr>
        <w:t>许昌市建安区精神文明建设指导委员会办公室、许昌市建安区新闻信息中心。</w:t>
      </w:r>
    </w:p>
    <w:p>
      <w:pPr>
        <w:widowControl/>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从决算单位构成看，中共许昌市建安区</w:t>
      </w:r>
      <w:r>
        <w:rPr>
          <w:rFonts w:hint="eastAsia" w:ascii="仿宋_GB2312" w:hAnsi="仿宋_GB2312" w:eastAsia="仿宋_GB2312" w:cs="仿宋_GB2312"/>
          <w:kern w:val="0"/>
          <w:sz w:val="32"/>
          <w:szCs w:val="32"/>
          <w:highlight w:val="none"/>
          <w:lang w:eastAsia="zh-CN"/>
        </w:rPr>
        <w:t>委</w:t>
      </w:r>
      <w:r>
        <w:rPr>
          <w:rFonts w:hint="eastAsia" w:ascii="仿宋_GB2312" w:hAnsi="仿宋_GB2312" w:eastAsia="仿宋_GB2312" w:cs="仿宋_GB2312"/>
          <w:kern w:val="0"/>
          <w:sz w:val="32"/>
          <w:szCs w:val="32"/>
          <w:highlight w:val="none"/>
        </w:rPr>
        <w:t>宣传部</w:t>
      </w:r>
      <w:r>
        <w:rPr>
          <w:rFonts w:hint="eastAsia" w:ascii="仿宋_GB2312" w:hAnsi="仿宋_GB2312" w:eastAsia="仿宋_GB2312" w:cs="仿宋_GB2312"/>
          <w:kern w:val="0"/>
          <w:sz w:val="32"/>
          <w:szCs w:val="32"/>
          <w:highlight w:val="none"/>
          <w:lang w:eastAsia="zh-CN"/>
        </w:rPr>
        <w:t>（本级）</w:t>
      </w:r>
      <w:r>
        <w:rPr>
          <w:rFonts w:hint="eastAsia" w:ascii="仿宋_GB2312" w:hAnsi="仿宋_GB2312" w:eastAsia="仿宋_GB2312" w:cs="仿宋_GB2312"/>
          <w:kern w:val="0"/>
          <w:sz w:val="32"/>
          <w:szCs w:val="32"/>
          <w:highlight w:val="none"/>
        </w:rPr>
        <w:t>部门决算包括本级决算。</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第二部分  202</w:t>
      </w:r>
      <w:r>
        <w:rPr>
          <w:rFonts w:hint="eastAsia" w:ascii="黑体" w:hAnsi="黑体" w:eastAsia="黑体" w:cs="黑体"/>
          <w:sz w:val="48"/>
          <w:szCs w:val="48"/>
          <w:highlight w:val="none"/>
          <w:lang w:val="en-US" w:eastAsia="zh-CN"/>
        </w:rPr>
        <w:t>1</w:t>
      </w:r>
      <w:r>
        <w:rPr>
          <w:rFonts w:hint="eastAsia" w:ascii="黑体" w:hAnsi="黑体" w:eastAsia="黑体" w:cs="黑体"/>
          <w:sz w:val="48"/>
          <w:szCs w:val="48"/>
          <w:highlight w:val="none"/>
        </w:rPr>
        <w:t>年度部门决算表</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sectPr>
          <w:pgSz w:w="11906" w:h="16838"/>
          <w:pgMar w:top="1440" w:right="1800" w:bottom="1440" w:left="1800" w:header="720" w:footer="720" w:gutter="0"/>
          <w:pgNumType w:fmt="numberInDash"/>
          <w:cols w:space="720" w:num="1"/>
          <w:docGrid w:type="lines" w:linePitch="312" w:charSpace="0"/>
        </w:sectPr>
      </w:pPr>
    </w:p>
    <w:p>
      <w:pPr>
        <w:rPr>
          <w:rFonts w:hint="eastAsia" w:ascii="仿宋_GB2312" w:hAnsi="仿宋_GB2312" w:eastAsia="仿宋_GB2312" w:cs="仿宋_GB2312"/>
          <w:sz w:val="32"/>
          <w:szCs w:val="32"/>
          <w:highlight w:val="none"/>
        </w:rPr>
      </w:pPr>
    </w:p>
    <w:tbl>
      <w:tblPr>
        <w:tblStyle w:val="10"/>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5"/>
        <w:gridCol w:w="814"/>
        <w:gridCol w:w="1087"/>
        <w:gridCol w:w="4364"/>
        <w:gridCol w:w="814"/>
        <w:gridCol w:w="2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i w:val="0"/>
                <w:iCs w:val="0"/>
                <w:color w:val="000000"/>
                <w:kern w:val="0"/>
                <w:sz w:val="30"/>
                <w:szCs w:val="30"/>
                <w:highlight w:val="none"/>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rPr>
                <w:rFonts w:hint="eastAsia"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部门：中共许昌市建安区委宣传部（本级）</w:t>
            </w: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0" w:type="auto"/>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一、一般公共预算财政拨款收入</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814.00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四、上级补助收入</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五、事业收入</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六、经营收入</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七、附属单位上缴收入</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八、其他收入</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814.00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使用非财政拨款结余</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结余分配</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年末结转和结余</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0" w:type="auto"/>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0" w:type="auto"/>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814.00</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0" w:type="auto"/>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注：本表反映部门本年度的总收支和年末结转结余情况。本套报表金额单位转换时可能存在尾数误差。</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p>
      <w:pPr>
        <w:rPr>
          <w:rFonts w:hint="eastAsia" w:ascii="仿宋_GB2312" w:hAnsi="仿宋_GB2312" w:eastAsia="仿宋_GB2312" w:cs="仿宋_GB2312"/>
          <w:sz w:val="32"/>
          <w:szCs w:val="32"/>
          <w:highlight w:val="none"/>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16"/>
        <w:gridCol w:w="222"/>
        <w:gridCol w:w="222"/>
        <w:gridCol w:w="2416"/>
        <w:gridCol w:w="1042"/>
        <w:gridCol w:w="1243"/>
        <w:gridCol w:w="849"/>
        <w:gridCol w:w="849"/>
        <w:gridCol w:w="849"/>
        <w:gridCol w:w="849"/>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i w:val="0"/>
                <w:iCs w:val="0"/>
                <w:color w:val="000000"/>
                <w:kern w:val="0"/>
                <w:sz w:val="30"/>
                <w:szCs w:val="30"/>
                <w:highlight w:val="none"/>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37" w:type="pct"/>
            <w:tcBorders>
              <w:top w:val="nil"/>
              <w:left w:val="nil"/>
              <w:bottom w:val="nil"/>
              <w:right w:val="nil"/>
            </w:tcBorders>
            <w:noWrap/>
            <w:vAlign w:val="bottom"/>
          </w:tcPr>
          <w:p>
            <w:pPr>
              <w:rPr>
                <w:rFonts w:hint="eastAsia" w:ascii="Arial" w:hAnsi="Arial" w:cs="Arial"/>
                <w:i w:val="0"/>
                <w:iCs w:val="0"/>
                <w:color w:val="000000"/>
                <w:sz w:val="20"/>
                <w:szCs w:val="20"/>
                <w:highlight w:val="none"/>
                <w:u w:val="none"/>
              </w:rPr>
            </w:pPr>
          </w:p>
        </w:tc>
        <w:tc>
          <w:tcPr>
            <w:tcW w:w="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68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0"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0"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2"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37"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部门：中共许昌市建安区委宣传部（本级）</w:t>
            </w:r>
          </w:p>
        </w:tc>
        <w:tc>
          <w:tcPr>
            <w:tcW w:w="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68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0"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0"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7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2"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79"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510"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本年收入合计</w:t>
            </w:r>
          </w:p>
        </w:tc>
        <w:tc>
          <w:tcPr>
            <w:tcW w:w="510"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财政拨款收入</w:t>
            </w:r>
          </w:p>
        </w:tc>
        <w:tc>
          <w:tcPr>
            <w:tcW w:w="371"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上级补助收入</w:t>
            </w:r>
          </w:p>
        </w:tc>
        <w:tc>
          <w:tcPr>
            <w:tcW w:w="371"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事业收入</w:t>
            </w:r>
          </w:p>
        </w:tc>
        <w:tc>
          <w:tcPr>
            <w:tcW w:w="371"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经营收入</w:t>
            </w:r>
          </w:p>
        </w:tc>
        <w:tc>
          <w:tcPr>
            <w:tcW w:w="371"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附属单位上缴收入</w:t>
            </w:r>
          </w:p>
        </w:tc>
        <w:tc>
          <w:tcPr>
            <w:tcW w:w="512"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4" w:type="pct"/>
            <w:gridSpan w:val="3"/>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684"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51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71"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71"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71"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71"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4" w:type="pct"/>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84"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51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71"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71"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71"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71"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4" w:type="pct"/>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684"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51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71"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71"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71"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71"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79" w:type="pct"/>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510"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10"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71"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71"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71"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71"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51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79" w:type="pct"/>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51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814.00</w:t>
            </w:r>
          </w:p>
        </w:tc>
        <w:tc>
          <w:tcPr>
            <w:tcW w:w="51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814.00</w:t>
            </w: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51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4"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68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51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799.88</w:t>
            </w:r>
          </w:p>
        </w:tc>
        <w:tc>
          <w:tcPr>
            <w:tcW w:w="51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799.88</w:t>
            </w: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4"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w:t>
            </w:r>
          </w:p>
        </w:tc>
        <w:tc>
          <w:tcPr>
            <w:tcW w:w="68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宣传事务</w:t>
            </w:r>
          </w:p>
        </w:tc>
        <w:tc>
          <w:tcPr>
            <w:tcW w:w="51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799.88</w:t>
            </w:r>
          </w:p>
        </w:tc>
        <w:tc>
          <w:tcPr>
            <w:tcW w:w="51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799.88</w:t>
            </w: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4"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2013301</w:t>
            </w:r>
          </w:p>
        </w:tc>
        <w:tc>
          <w:tcPr>
            <w:tcW w:w="68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51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799.88</w:t>
            </w:r>
          </w:p>
        </w:tc>
        <w:tc>
          <w:tcPr>
            <w:tcW w:w="51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799.88</w:t>
            </w: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4"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68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51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51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4"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68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51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51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4"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2080501</w:t>
            </w:r>
          </w:p>
        </w:tc>
        <w:tc>
          <w:tcPr>
            <w:tcW w:w="68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行政单位离退休</w:t>
            </w:r>
          </w:p>
        </w:tc>
        <w:tc>
          <w:tcPr>
            <w:tcW w:w="51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510"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4"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684"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1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4"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684"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1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4"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684"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1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294"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684"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1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7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1"/>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注：本表反映部门本年度取得的各项收入情况。</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16"/>
        <w:gridCol w:w="222"/>
        <w:gridCol w:w="222"/>
        <w:gridCol w:w="2416"/>
        <w:gridCol w:w="1266"/>
        <w:gridCol w:w="1358"/>
        <w:gridCol w:w="1361"/>
        <w:gridCol w:w="848"/>
        <w:gridCol w:w="848"/>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i w:val="0"/>
                <w:iCs w:val="0"/>
                <w:color w:val="000000"/>
                <w:kern w:val="0"/>
                <w:sz w:val="30"/>
                <w:szCs w:val="30"/>
                <w:highlight w:val="none"/>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72" w:type="pct"/>
            <w:tcBorders>
              <w:top w:val="nil"/>
              <w:left w:val="nil"/>
              <w:bottom w:val="nil"/>
              <w:right w:val="nil"/>
            </w:tcBorders>
            <w:noWrap/>
            <w:vAlign w:val="bottom"/>
          </w:tcPr>
          <w:p>
            <w:pPr>
              <w:rPr>
                <w:rFonts w:hint="eastAsia" w:ascii="Arial" w:hAnsi="Arial" w:cs="Arial"/>
                <w:i w:val="0"/>
                <w:iCs w:val="0"/>
                <w:color w:val="000000"/>
                <w:sz w:val="20"/>
                <w:szCs w:val="20"/>
                <w:highlight w:val="none"/>
                <w:u w:val="none"/>
              </w:rPr>
            </w:pPr>
          </w:p>
        </w:tc>
        <w:tc>
          <w:tcPr>
            <w:tcW w:w="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6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3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3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72"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272"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部门：中共许昌市建安区委宣传部（本级）</w:t>
            </w:r>
          </w:p>
        </w:tc>
        <w:tc>
          <w:tcPr>
            <w:tcW w:w="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6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3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38"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72"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94"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518"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本年支出合计</w:t>
            </w:r>
          </w:p>
        </w:tc>
        <w:tc>
          <w:tcPr>
            <w:tcW w:w="518"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519"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c>
          <w:tcPr>
            <w:tcW w:w="338"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上缴上级支出</w:t>
            </w:r>
          </w:p>
        </w:tc>
        <w:tc>
          <w:tcPr>
            <w:tcW w:w="338"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经营支出</w:t>
            </w:r>
          </w:p>
        </w:tc>
        <w:tc>
          <w:tcPr>
            <w:tcW w:w="572"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9" w:type="pct"/>
            <w:gridSpan w:val="3"/>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76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51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3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3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7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9" w:type="pct"/>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51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3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3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7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9" w:type="pct"/>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6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51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9"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3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38"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72"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94" w:type="pct"/>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518"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18"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19"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38"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38"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57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94" w:type="pct"/>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814.00</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666.85</w:t>
            </w:r>
          </w:p>
        </w:tc>
        <w:tc>
          <w:tcPr>
            <w:tcW w:w="519"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147.15</w:t>
            </w: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9"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76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799.88</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652.73</w:t>
            </w:r>
          </w:p>
        </w:tc>
        <w:tc>
          <w:tcPr>
            <w:tcW w:w="519"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147.15</w:t>
            </w: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9"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w:t>
            </w:r>
          </w:p>
        </w:tc>
        <w:tc>
          <w:tcPr>
            <w:tcW w:w="76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宣传事务</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799.88</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652.73</w:t>
            </w:r>
          </w:p>
        </w:tc>
        <w:tc>
          <w:tcPr>
            <w:tcW w:w="519"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147.15</w:t>
            </w: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9"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2013301</w:t>
            </w:r>
          </w:p>
        </w:tc>
        <w:tc>
          <w:tcPr>
            <w:tcW w:w="76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799.88</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652.73</w:t>
            </w:r>
          </w:p>
        </w:tc>
        <w:tc>
          <w:tcPr>
            <w:tcW w:w="519"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147.15</w:t>
            </w: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9"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76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51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9"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76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51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9"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2080501</w:t>
            </w:r>
          </w:p>
        </w:tc>
        <w:tc>
          <w:tcPr>
            <w:tcW w:w="76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行政单位离退休</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518"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51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9"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765"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1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9"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765"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1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9"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765"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1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9"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765"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1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3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注：本表反映部门本年度各项支出情况。</w:t>
            </w:r>
          </w:p>
        </w:tc>
      </w:tr>
    </w:tbl>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57"/>
        <w:gridCol w:w="494"/>
        <w:gridCol w:w="1239"/>
        <w:gridCol w:w="3448"/>
        <w:gridCol w:w="494"/>
        <w:gridCol w:w="850"/>
        <w:gridCol w:w="1236"/>
        <w:gridCol w:w="1032"/>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i w:val="0"/>
                <w:iCs w:val="0"/>
                <w:color w:val="000000"/>
                <w:kern w:val="0"/>
                <w:sz w:val="30"/>
                <w:szCs w:val="30"/>
                <w:highlight w:val="none"/>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55" w:type="pct"/>
            <w:tcBorders>
              <w:top w:val="nil"/>
              <w:left w:val="nil"/>
              <w:bottom w:val="nil"/>
              <w:right w:val="nil"/>
            </w:tcBorders>
            <w:noWrap/>
            <w:vAlign w:val="bottom"/>
          </w:tcPr>
          <w:p>
            <w:pPr>
              <w:rPr>
                <w:rFonts w:hint="eastAsia" w:ascii="Arial" w:hAnsi="Arial" w:cs="Arial"/>
                <w:i w:val="0"/>
                <w:iCs w:val="0"/>
                <w:color w:val="000000"/>
                <w:sz w:val="20"/>
                <w:szCs w:val="20"/>
                <w:highlight w:val="none"/>
                <w:u w:val="none"/>
              </w:rPr>
            </w:pPr>
          </w:p>
        </w:tc>
        <w:tc>
          <w:tcPr>
            <w:tcW w:w="16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3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121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16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9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3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5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78"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55"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部门：中共许昌市建安区委宣传部（本级）</w:t>
            </w:r>
          </w:p>
        </w:tc>
        <w:tc>
          <w:tcPr>
            <w:tcW w:w="16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3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121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16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9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3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5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78"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56"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     入</w:t>
            </w:r>
          </w:p>
        </w:tc>
        <w:tc>
          <w:tcPr>
            <w:tcW w:w="3043" w:type="pct"/>
            <w:gridSpan w:val="6"/>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355"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6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431"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1211"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6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295"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431"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一般公共预算财政拨款</w:t>
            </w:r>
          </w:p>
        </w:tc>
        <w:tc>
          <w:tcPr>
            <w:tcW w:w="35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政府性基金预算财政拨款</w:t>
            </w:r>
          </w:p>
        </w:tc>
        <w:tc>
          <w:tcPr>
            <w:tcW w:w="578"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355"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69"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31"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211"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69"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95"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431"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56"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78"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69"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69" w:type="pct"/>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3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35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78"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31"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814.00</w:t>
            </w: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799.88</w:t>
            </w:r>
          </w:p>
        </w:tc>
        <w:tc>
          <w:tcPr>
            <w:tcW w:w="431"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799.88</w:t>
            </w: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三、国有资本经营财政拨款</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431"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i w:val="0"/>
                <w:iCs w:val="0"/>
                <w:color w:val="000000"/>
                <w:sz w:val="20"/>
                <w:szCs w:val="20"/>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431"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814.00</w:t>
            </w: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814.00</w:t>
            </w:r>
          </w:p>
        </w:tc>
        <w:tc>
          <w:tcPr>
            <w:tcW w:w="431"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814.00</w:t>
            </w: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年初财政拨款结转和结余</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年末财政拨款结转和结余</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一般公共预算财政拨款</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政府性基金预算财政拨款</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国有资本经营预算财政拨款</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1211"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29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431"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55"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169" w:type="pct"/>
            <w:tcBorders>
              <w:top w:val="nil"/>
              <w:left w:val="nil"/>
              <w:bottom w:val="single" w:color="000000" w:sz="8"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431"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814.00</w:t>
            </w:r>
          </w:p>
        </w:tc>
        <w:tc>
          <w:tcPr>
            <w:tcW w:w="1211"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169"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29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814.00</w:t>
            </w:r>
          </w:p>
        </w:tc>
        <w:tc>
          <w:tcPr>
            <w:tcW w:w="431"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814.00</w:t>
            </w:r>
          </w:p>
        </w:tc>
        <w:tc>
          <w:tcPr>
            <w:tcW w:w="35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78"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21" w:type="pct"/>
            <w:gridSpan w:val="8"/>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注：本表反映部门本年度一般公共预算财政拨款、政府性基金预算财政拨款和国有资本经营预算财政拨款的总收支和年末结转结余情况。</w:t>
            </w:r>
          </w:p>
        </w:tc>
        <w:tc>
          <w:tcPr>
            <w:tcW w:w="578" w:type="pct"/>
            <w:tcBorders>
              <w:top w:val="nil"/>
              <w:left w:val="nil"/>
              <w:bottom w:val="nil"/>
              <w:right w:val="nil"/>
            </w:tcBorders>
            <w:noWrap/>
            <w:vAlign w:val="center"/>
          </w:tcPr>
          <w:p>
            <w:pPr>
              <w:jc w:val="left"/>
              <w:rPr>
                <w:rFonts w:hint="eastAsia" w:ascii="宋体" w:hAnsi="宋体" w:eastAsia="宋体" w:cs="宋体"/>
                <w:i w:val="0"/>
                <w:iCs w:val="0"/>
                <w:color w:val="000000"/>
                <w:sz w:val="20"/>
                <w:szCs w:val="20"/>
                <w:highlight w:val="none"/>
                <w:u w:val="none"/>
              </w:rPr>
            </w:pPr>
          </w:p>
        </w:tc>
      </w:tr>
    </w:tbl>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76"/>
        <w:gridCol w:w="266"/>
        <w:gridCol w:w="272"/>
        <w:gridCol w:w="2934"/>
        <w:gridCol w:w="1602"/>
        <w:gridCol w:w="1602"/>
        <w:gridCol w:w="2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i w:val="0"/>
                <w:iCs w:val="0"/>
                <w:color w:val="000000"/>
                <w:kern w:val="0"/>
                <w:sz w:val="30"/>
                <w:szCs w:val="30"/>
                <w:highlight w:val="none"/>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20" w:type="pct"/>
            <w:tcBorders>
              <w:top w:val="nil"/>
              <w:left w:val="nil"/>
              <w:bottom w:val="nil"/>
              <w:right w:val="nil"/>
            </w:tcBorders>
            <w:noWrap/>
            <w:vAlign w:val="bottom"/>
          </w:tcPr>
          <w:p>
            <w:pPr>
              <w:rPr>
                <w:rFonts w:hint="eastAsia" w:ascii="Arial" w:hAnsi="Arial" w:cs="Arial"/>
                <w:i w:val="0"/>
                <w:iCs w:val="0"/>
                <w:color w:val="000000"/>
                <w:sz w:val="20"/>
                <w:szCs w:val="20"/>
                <w:highlight w:val="none"/>
                <w:u w:val="none"/>
              </w:rPr>
            </w:pPr>
          </w:p>
        </w:tc>
        <w:tc>
          <w:tcPr>
            <w:tcW w:w="9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9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103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6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6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924"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720"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部门：中共许昌市建安区委宣传部（本级）</w:t>
            </w:r>
          </w:p>
        </w:tc>
        <w:tc>
          <w:tcPr>
            <w:tcW w:w="9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9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103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6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65"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924"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45"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2054" w:type="pct"/>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10" w:type="pct"/>
            <w:gridSpan w:val="3"/>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1034"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565"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565"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924"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910" w:type="pct"/>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34"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565"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65"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924"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10" w:type="pct"/>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034"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565"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65"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924"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45" w:type="pct"/>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5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65"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24"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45" w:type="pct"/>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56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814.00</w:t>
            </w:r>
          </w:p>
        </w:tc>
        <w:tc>
          <w:tcPr>
            <w:tcW w:w="56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666.85</w:t>
            </w:r>
          </w:p>
        </w:tc>
        <w:tc>
          <w:tcPr>
            <w:tcW w:w="924"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147.15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10"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w:t>
            </w:r>
          </w:p>
        </w:tc>
        <w:tc>
          <w:tcPr>
            <w:tcW w:w="103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一般公共服务支出</w:t>
            </w:r>
          </w:p>
        </w:tc>
        <w:tc>
          <w:tcPr>
            <w:tcW w:w="56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799.88</w:t>
            </w:r>
          </w:p>
        </w:tc>
        <w:tc>
          <w:tcPr>
            <w:tcW w:w="56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652.73</w:t>
            </w:r>
          </w:p>
        </w:tc>
        <w:tc>
          <w:tcPr>
            <w:tcW w:w="924"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10"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w:t>
            </w:r>
          </w:p>
        </w:tc>
        <w:tc>
          <w:tcPr>
            <w:tcW w:w="103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宣传事务</w:t>
            </w:r>
          </w:p>
        </w:tc>
        <w:tc>
          <w:tcPr>
            <w:tcW w:w="56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799.88</w:t>
            </w:r>
          </w:p>
        </w:tc>
        <w:tc>
          <w:tcPr>
            <w:tcW w:w="56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652.73</w:t>
            </w:r>
          </w:p>
        </w:tc>
        <w:tc>
          <w:tcPr>
            <w:tcW w:w="924"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10"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2013301</w:t>
            </w:r>
          </w:p>
        </w:tc>
        <w:tc>
          <w:tcPr>
            <w:tcW w:w="103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行政运行</w:t>
            </w:r>
          </w:p>
        </w:tc>
        <w:tc>
          <w:tcPr>
            <w:tcW w:w="56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799.88</w:t>
            </w:r>
          </w:p>
        </w:tc>
        <w:tc>
          <w:tcPr>
            <w:tcW w:w="56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652.73</w:t>
            </w:r>
          </w:p>
        </w:tc>
        <w:tc>
          <w:tcPr>
            <w:tcW w:w="924"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10"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103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56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56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924"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10"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103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56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56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924"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10" w:type="pct"/>
            <w:gridSpan w:val="3"/>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2080501</w:t>
            </w:r>
          </w:p>
        </w:tc>
        <w:tc>
          <w:tcPr>
            <w:tcW w:w="1034"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行政单位离退休</w:t>
            </w:r>
          </w:p>
        </w:tc>
        <w:tc>
          <w:tcPr>
            <w:tcW w:w="56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56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924"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10"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034"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924"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10"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034"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924"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10"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034"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924"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910"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034"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6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924"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注：本表反映部门本年度一般公共预算财政拨款支出情况。</w:t>
            </w:r>
          </w:p>
        </w:tc>
      </w:tr>
    </w:tbl>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1"/>
        <w:gridCol w:w="3248"/>
        <w:gridCol w:w="822"/>
        <w:gridCol w:w="721"/>
        <w:gridCol w:w="2237"/>
        <w:gridCol w:w="822"/>
        <w:gridCol w:w="722"/>
        <w:gridCol w:w="4058"/>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i w:val="0"/>
                <w:iCs w:val="0"/>
                <w:color w:val="000000"/>
                <w:kern w:val="0"/>
                <w:sz w:val="30"/>
                <w:szCs w:val="30"/>
                <w:highlight w:val="none"/>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52" w:type="pct"/>
            <w:tcBorders>
              <w:top w:val="nil"/>
              <w:left w:val="nil"/>
              <w:bottom w:val="nil"/>
              <w:right w:val="nil"/>
            </w:tcBorders>
            <w:noWrap/>
            <w:vAlign w:val="bottom"/>
          </w:tcPr>
          <w:p>
            <w:pPr>
              <w:rPr>
                <w:rFonts w:hint="eastAsia" w:ascii="Arial" w:hAnsi="Arial" w:cs="Arial"/>
                <w:i w:val="0"/>
                <w:iCs w:val="0"/>
                <w:color w:val="000000"/>
                <w:sz w:val="20"/>
                <w:szCs w:val="20"/>
                <w:highlight w:val="none"/>
                <w:u w:val="none"/>
              </w:rPr>
            </w:pPr>
          </w:p>
        </w:tc>
        <w:tc>
          <w:tcPr>
            <w:tcW w:w="1133"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87"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8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87"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1751" w:type="pct"/>
            <w:gridSpan w:val="2"/>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85" w:type="pct"/>
            <w:gridSpan w:val="2"/>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部门：中共许昌市建安区委宣传部（本级）</w:t>
            </w:r>
          </w:p>
        </w:tc>
        <w:tc>
          <w:tcPr>
            <w:tcW w:w="287"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81"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87"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5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1751" w:type="pct"/>
            <w:gridSpan w:val="2"/>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3"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人员经费</w:t>
            </w:r>
          </w:p>
        </w:tc>
        <w:tc>
          <w:tcPr>
            <w:tcW w:w="3326" w:type="pct"/>
            <w:gridSpan w:val="6"/>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科目编码</w:t>
            </w:r>
          </w:p>
        </w:tc>
        <w:tc>
          <w:tcPr>
            <w:tcW w:w="1133"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287"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c>
          <w:tcPr>
            <w:tcW w:w="252"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科目编码</w:t>
            </w:r>
          </w:p>
        </w:tc>
        <w:tc>
          <w:tcPr>
            <w:tcW w:w="781"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287"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c>
          <w:tcPr>
            <w:tcW w:w="252"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科目编码</w:t>
            </w:r>
          </w:p>
        </w:tc>
        <w:tc>
          <w:tcPr>
            <w:tcW w:w="1415"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335"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133"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87"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2"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781"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87"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252"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1415"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35"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工资福利支出</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424.36</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商品和服务支出</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216.94</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债务利息及费用支出</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30101</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基本工资</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107.75</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30201</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办公费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13.98</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30701</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国内债务付息</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30102</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津贴补贴</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63.33</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30202</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印刷费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11.79</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30702</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国外债务付息</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30103</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奖金</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163.29</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30203</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咨询费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资本性支出</w:t>
            </w:r>
          </w:p>
        </w:tc>
        <w:tc>
          <w:tcPr>
            <w:tcW w:w="3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30106</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伙食补助费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30204</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手续费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31001</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房屋建筑物购建</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30107</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绩效工资</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16.03</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30205</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水费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31002</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办公设备购置</w:t>
            </w:r>
          </w:p>
        </w:tc>
        <w:tc>
          <w:tcPr>
            <w:tcW w:w="3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30108</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26.10</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30206</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电费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31003</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专用设备购置</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30109</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职业年金缴费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30207</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邮电费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31005</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基础设施建设</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30110</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职工基本医疗保险缴费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9.01</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30208</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取暖费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31006</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大型修缮</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30111</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公务员医疗补助缴费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30209</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物业管理费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31007</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信息网络及软件购置更新</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30112</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其他社会保障缴费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1.55</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30211</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差旅费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1.28</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31008</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物资储备</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30113</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31.48</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30212</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因公出国（境）费用</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31009</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土地补偿</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30114</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医疗费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5.81</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30213</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维修（护）费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6.88</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31010</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安置补助</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30199</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其他工资福利支出</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30214</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租赁费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14.27</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31011</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地上附着物和青苗补偿</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对个人和家庭的补助</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15.94</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30215</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会议费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31012</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拆迁补偿</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30301</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离休费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30216</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培训费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10.50</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31013</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公务用车购置</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30302</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退休费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14.12</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30217</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公务接待费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31019</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其他交通工具购置</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30303</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退职（役）费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30218</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专用材料费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31021</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文物和陈列品购置</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30304</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抚恤金</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30224</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被装购置费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31022</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无形资产购置</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30305</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生活补助</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1.82</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30225</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专用燃料费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31099</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其他资本性支出</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30306</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救济费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30226</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劳务费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19.20</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30307</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医疗费补助</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30227</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委托业务费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113.94</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39906</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赠与</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30308</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助学金</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30228</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工会经费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39907</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国家赔偿费用支出</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30309</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奖励金</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30229</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福利费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39908</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对民间非营利组织和群众性自治组织补贴</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30310</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个人农业生产补贴</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30231</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公务用车运行维护费</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39999</w:t>
            </w:r>
          </w:p>
        </w:tc>
        <w:tc>
          <w:tcPr>
            <w:tcW w:w="1415"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其他支出</w:t>
            </w: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30311</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代缴社会保险费</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30239</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其他交通费用</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13.71</w:t>
            </w:r>
          </w:p>
        </w:tc>
        <w:tc>
          <w:tcPr>
            <w:tcW w:w="252"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415"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30399</w:t>
            </w:r>
          </w:p>
        </w:tc>
        <w:tc>
          <w:tcPr>
            <w:tcW w:w="1133"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其他对个人和家庭的补助</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30240</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税金及附加费用</w:t>
            </w: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415"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52" w:type="pct"/>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133"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287"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252"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30299</w:t>
            </w:r>
          </w:p>
        </w:tc>
        <w:tc>
          <w:tcPr>
            <w:tcW w:w="781" w:type="pct"/>
            <w:tcBorders>
              <w:top w:val="nil"/>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其他商品和服务支出</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8.63</w:t>
            </w:r>
          </w:p>
        </w:tc>
        <w:tc>
          <w:tcPr>
            <w:tcW w:w="252"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1415"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335"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85" w:type="pct"/>
            <w:gridSpan w:val="2"/>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人员经费合计</w:t>
            </w:r>
          </w:p>
        </w:tc>
        <w:tc>
          <w:tcPr>
            <w:tcW w:w="287"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440.30</w:t>
            </w:r>
          </w:p>
        </w:tc>
        <w:tc>
          <w:tcPr>
            <w:tcW w:w="2990" w:type="pct"/>
            <w:gridSpan w:val="5"/>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公用经费合计</w:t>
            </w:r>
          </w:p>
        </w:tc>
        <w:tc>
          <w:tcPr>
            <w:tcW w:w="335"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226.55</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16"/>
        <w:gridCol w:w="1088"/>
        <w:gridCol w:w="879"/>
        <w:gridCol w:w="652"/>
        <w:gridCol w:w="881"/>
        <w:gridCol w:w="660"/>
        <w:gridCol w:w="879"/>
        <w:gridCol w:w="1088"/>
        <w:gridCol w:w="879"/>
        <w:gridCol w:w="653"/>
        <w:gridCol w:w="882"/>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highlight w:val="none"/>
                <w:u w:val="none"/>
              </w:rPr>
            </w:pPr>
            <w:r>
              <w:rPr>
                <w:rFonts w:hint="eastAsia" w:ascii="宋体" w:hAnsi="宋体" w:eastAsia="宋体" w:cs="宋体"/>
                <w:i w:val="0"/>
                <w:iCs w:val="0"/>
                <w:color w:val="000000"/>
                <w:kern w:val="0"/>
                <w:sz w:val="30"/>
                <w:szCs w:val="30"/>
                <w:highlight w:val="none"/>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86" w:type="pct"/>
            <w:tcBorders>
              <w:top w:val="nil"/>
              <w:left w:val="nil"/>
              <w:bottom w:val="nil"/>
              <w:right w:val="nil"/>
            </w:tcBorders>
            <w:noWrap/>
            <w:vAlign w:val="bottom"/>
          </w:tcPr>
          <w:p>
            <w:pPr>
              <w:rPr>
                <w:rFonts w:hint="eastAsia" w:ascii="Arial" w:hAnsi="Arial" w:cs="Arial"/>
                <w:i w:val="0"/>
                <w:iCs w:val="0"/>
                <w:color w:val="000000"/>
                <w:sz w:val="20"/>
                <w:szCs w:val="20"/>
                <w:highlight w:val="none"/>
                <w:u w:val="none"/>
              </w:rPr>
            </w:pPr>
          </w:p>
        </w:tc>
        <w:tc>
          <w:tcPr>
            <w:tcW w:w="4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4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6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4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6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4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4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6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4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79"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186"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部门：中共许昌市建安区委宣传部（本级）</w:t>
            </w:r>
          </w:p>
        </w:tc>
        <w:tc>
          <w:tcPr>
            <w:tcW w:w="4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4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6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4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6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4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4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26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42"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479"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13"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预算数</w:t>
            </w:r>
          </w:p>
        </w:tc>
        <w:tc>
          <w:tcPr>
            <w:tcW w:w="2186" w:type="pct"/>
            <w:gridSpan w:val="6"/>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6" w:type="pct"/>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41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因公出国（境）费</w:t>
            </w:r>
          </w:p>
        </w:tc>
        <w:tc>
          <w:tcPr>
            <w:tcW w:w="947" w:type="pct"/>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公务用车购置及运行费</w:t>
            </w:r>
          </w:p>
        </w:tc>
        <w:tc>
          <w:tcPr>
            <w:tcW w:w="262"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公务接待费</w:t>
            </w:r>
          </w:p>
        </w:tc>
        <w:tc>
          <w:tcPr>
            <w:tcW w:w="342"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41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因公出国（境）费</w:t>
            </w:r>
          </w:p>
        </w:tc>
        <w:tc>
          <w:tcPr>
            <w:tcW w:w="947" w:type="pct"/>
            <w:gridSpan w:val="3"/>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公务用车购置及运行费</w:t>
            </w:r>
          </w:p>
        </w:tc>
        <w:tc>
          <w:tcPr>
            <w:tcW w:w="479"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86" w:type="pct"/>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16"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4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26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公务用车购置费</w:t>
            </w:r>
          </w:p>
        </w:tc>
        <w:tc>
          <w:tcPr>
            <w:tcW w:w="34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公务用车运行费</w:t>
            </w:r>
          </w:p>
        </w:tc>
        <w:tc>
          <w:tcPr>
            <w:tcW w:w="262"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42"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416"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4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26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公务用车购置费</w:t>
            </w:r>
          </w:p>
        </w:tc>
        <w:tc>
          <w:tcPr>
            <w:tcW w:w="34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公务用车运行费</w:t>
            </w:r>
          </w:p>
        </w:tc>
        <w:tc>
          <w:tcPr>
            <w:tcW w:w="479"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6" w:type="pc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416"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34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6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34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6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34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416"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34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6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342"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479" w:type="pc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186"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4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42"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26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42"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26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42"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4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42"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262"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342" w:type="pct"/>
            <w:tcBorders>
              <w:top w:val="nil"/>
              <w:left w:val="nil"/>
              <w:bottom w:val="single" w:color="000000" w:sz="4" w:space="0"/>
              <w:right w:val="single" w:color="000000" w:sz="4" w:space="0"/>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w:t>
            </w:r>
          </w:p>
        </w:tc>
        <w:tc>
          <w:tcPr>
            <w:tcW w:w="479"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000" w:type="pct"/>
            <w:gridSpan w:val="12"/>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16"/>
        <w:gridCol w:w="222"/>
        <w:gridCol w:w="222"/>
        <w:gridCol w:w="1096"/>
        <w:gridCol w:w="1331"/>
        <w:gridCol w:w="1417"/>
        <w:gridCol w:w="1418"/>
        <w:gridCol w:w="1418"/>
        <w:gridCol w:w="1418"/>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00" w:type="pct"/>
            <w:gridSpan w:val="10"/>
            <w:tcBorders>
              <w:top w:val="nil"/>
              <w:left w:val="nil"/>
              <w:bottom w:val="nil"/>
              <w:right w:val="nil"/>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highlight w:val="none"/>
                <w:u w:val="none"/>
              </w:rPr>
            </w:pPr>
            <w:r>
              <w:rPr>
                <w:rFonts w:hint="eastAsia" w:ascii="宋体" w:hAnsi="宋体" w:eastAsia="宋体" w:cs="宋体"/>
                <w:i w:val="0"/>
                <w:iCs w:val="0"/>
                <w:color w:val="000000"/>
                <w:kern w:val="0"/>
                <w:sz w:val="30"/>
                <w:szCs w:val="30"/>
                <w:highlight w:val="none"/>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35" w:type="pct"/>
            <w:tcBorders>
              <w:top w:val="nil"/>
              <w:left w:val="nil"/>
              <w:bottom w:val="nil"/>
              <w:right w:val="nil"/>
            </w:tcBorders>
            <w:noWrap/>
            <w:vAlign w:val="bottom"/>
          </w:tcPr>
          <w:p>
            <w:pPr>
              <w:rPr>
                <w:rFonts w:hint="eastAsia" w:ascii="Arial" w:hAnsi="Arial" w:cs="Arial"/>
                <w:i w:val="0"/>
                <w:iCs w:val="0"/>
                <w:color w:val="000000"/>
                <w:sz w:val="20"/>
                <w:szCs w:val="20"/>
                <w:highlight w:val="none"/>
                <w:u w:val="none"/>
              </w:rPr>
            </w:pPr>
          </w:p>
        </w:tc>
        <w:tc>
          <w:tcPr>
            <w:tcW w:w="7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6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60"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335" w:type="pct"/>
            <w:tcBorders>
              <w:top w:val="nil"/>
              <w:left w:val="nil"/>
              <w:bottom w:val="nil"/>
              <w:right w:val="nil"/>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部门：中共许昌市建安区委宣传部（本级）</w:t>
            </w:r>
          </w:p>
        </w:tc>
        <w:tc>
          <w:tcPr>
            <w:tcW w:w="7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79"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364"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16" w:type="pct"/>
            <w:tcBorders>
              <w:top w:val="nil"/>
              <w:left w:val="nil"/>
              <w:bottom w:val="nil"/>
              <w:right w:val="nil"/>
            </w:tcBorders>
            <w:noWrap/>
            <w:vAlign w:val="bottom"/>
          </w:tcPr>
          <w:p>
            <w:pPr>
              <w:rPr>
                <w:rFonts w:hint="default" w:ascii="Arial" w:hAnsi="Arial" w:cs="Arial"/>
                <w:i w:val="0"/>
                <w:iCs w:val="0"/>
                <w:color w:val="000000"/>
                <w:sz w:val="20"/>
                <w:szCs w:val="20"/>
                <w:highlight w:val="none"/>
                <w:u w:val="none"/>
              </w:rPr>
            </w:pPr>
          </w:p>
        </w:tc>
        <w:tc>
          <w:tcPr>
            <w:tcW w:w="560" w:type="pct"/>
            <w:tcBorders>
              <w:top w:val="nil"/>
              <w:left w:val="nil"/>
              <w:bottom w:val="nil"/>
              <w:right w:val="nil"/>
            </w:tcBorders>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58"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516"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516"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本年收入</w:t>
            </w:r>
          </w:p>
        </w:tc>
        <w:tc>
          <w:tcPr>
            <w:tcW w:w="1548" w:type="pct"/>
            <w:gridSpan w:val="3"/>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w:t>
            </w:r>
          </w:p>
        </w:tc>
        <w:tc>
          <w:tcPr>
            <w:tcW w:w="560" w:type="pct"/>
            <w:vMerge w:val="restart"/>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93" w:type="pct"/>
            <w:gridSpan w:val="3"/>
            <w:vMerge w:val="restart"/>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364" w:type="pct"/>
            <w:vMerge w:val="restar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516"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6"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51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516" w:type="pct"/>
            <w:vMerge w:val="restart"/>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c>
          <w:tcPr>
            <w:tcW w:w="56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93" w:type="pct"/>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64"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516"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6"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6"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6"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6"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6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93" w:type="pct"/>
            <w:gridSpan w:val="3"/>
            <w:vMerge w:val="continue"/>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364" w:type="pct"/>
            <w:vMerge w:val="continue"/>
            <w:tcBorders>
              <w:top w:val="nil"/>
              <w:left w:val="nil"/>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2"/>
                <w:szCs w:val="22"/>
                <w:highlight w:val="none"/>
                <w:u w:val="none"/>
              </w:rPr>
            </w:pPr>
          </w:p>
        </w:tc>
        <w:tc>
          <w:tcPr>
            <w:tcW w:w="516"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6"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6"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6"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16" w:type="pct"/>
            <w:vMerge w:val="continue"/>
            <w:tcBorders>
              <w:top w:val="nil"/>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c>
          <w:tcPr>
            <w:tcW w:w="560" w:type="pct"/>
            <w:vMerge w:val="continue"/>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58" w:type="pct"/>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5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5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5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5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516"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560" w:type="pct"/>
            <w:tcBorders>
              <w:top w:val="nil"/>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858" w:type="pct"/>
            <w:gridSpan w:val="4"/>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c>
          <w:tcPr>
            <w:tcW w:w="56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93"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364"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6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93"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364"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6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93"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364"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6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93"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364"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6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93"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364"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6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93" w:type="pct"/>
            <w:gridSpan w:val="3"/>
            <w:tcBorders>
              <w:top w:val="nil"/>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364" w:type="pct"/>
            <w:tcBorders>
              <w:top w:val="nil"/>
              <w:left w:val="nil"/>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16"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c>
          <w:tcPr>
            <w:tcW w:w="560" w:type="pct"/>
            <w:tcBorders>
              <w:top w:val="nil"/>
              <w:left w:val="nil"/>
              <w:bottom w:val="single" w:color="000000" w:sz="4" w:space="0"/>
              <w:right w:val="single" w:color="000000" w:sz="4" w:space="0"/>
            </w:tcBorders>
            <w:noWrap/>
            <w:vAlign w:val="center"/>
          </w:tcPr>
          <w:p>
            <w:pPr>
              <w:jc w:val="right"/>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注：本表反映部门本年度政府性基金预算财政拨款收入、支出及结转和结余情况。</w:t>
            </w:r>
          </w:p>
        </w:tc>
      </w:tr>
    </w:tbl>
    <w:p>
      <w:pPr>
        <w:jc w:val="center"/>
        <w:outlineLvl w:val="9"/>
        <w:rPr>
          <w:rFonts w:hint="eastAsia" w:ascii="仿宋_GB2312" w:hAnsi="仿宋_GB2312" w:eastAsia="仿宋_GB2312" w:cs="仿宋_GB2312"/>
          <w:sz w:val="32"/>
          <w:szCs w:val="32"/>
          <w:highlight w:val="none"/>
        </w:rPr>
        <w:sectPr>
          <w:pgSz w:w="16838" w:h="11906" w:orient="landscape"/>
          <w:pgMar w:top="1800" w:right="1440" w:bottom="1800" w:left="1440" w:header="720" w:footer="720" w:gutter="0"/>
          <w:pgNumType w:fmt="numberInDash"/>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说明：我部门没有政府性基金收入，也没有使用政府性基金安排的支出，故本表无数据</w:t>
      </w: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jc w:val="center"/>
        <w:rPr>
          <w:rFonts w:ascii="仿宋_GB2312" w:hAnsi="仿宋_GB2312" w:eastAsia="仿宋_GB2312" w:cs="仿宋_GB2312"/>
          <w:sz w:val="32"/>
          <w:szCs w:val="32"/>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第三部分  202</w:t>
      </w:r>
      <w:r>
        <w:rPr>
          <w:rFonts w:hint="eastAsia" w:ascii="黑体" w:hAnsi="黑体" w:eastAsia="黑体" w:cs="黑体"/>
          <w:sz w:val="48"/>
          <w:szCs w:val="48"/>
          <w:highlight w:val="none"/>
          <w:lang w:val="en-US" w:eastAsia="zh-CN"/>
        </w:rPr>
        <w:t>1</w:t>
      </w:r>
      <w:r>
        <w:rPr>
          <w:rFonts w:hint="eastAsia" w:ascii="黑体" w:hAnsi="黑体" w:eastAsia="黑体" w:cs="黑体"/>
          <w:sz w:val="48"/>
          <w:szCs w:val="48"/>
          <w:highlight w:val="none"/>
        </w:rPr>
        <w:t>年度部门决算情况说明</w:t>
      </w:r>
    </w:p>
    <w:p>
      <w:pPr>
        <w:widowControl/>
        <w:jc w:val="left"/>
        <w:rPr>
          <w:rFonts w:hint="eastAsia" w:ascii="黑体" w:hAnsi="黑体" w:eastAsia="黑体" w:cs="黑体"/>
          <w:sz w:val="48"/>
          <w:szCs w:val="48"/>
          <w:highlight w:val="none"/>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一、收入支出决算总体情况说明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年度收、支总计均为</w:t>
      </w:r>
      <w:r>
        <w:rPr>
          <w:rFonts w:hint="eastAsia" w:ascii="仿宋_GB2312" w:hAnsi="仿宋_GB2312" w:eastAsia="仿宋_GB2312" w:cs="仿宋_GB2312"/>
          <w:sz w:val="32"/>
          <w:szCs w:val="32"/>
          <w:highlight w:val="none"/>
          <w:lang w:val="en-US" w:eastAsia="zh-CN"/>
        </w:rPr>
        <w:t>814.00</w:t>
      </w:r>
      <w:r>
        <w:rPr>
          <w:rFonts w:hint="eastAsia" w:ascii="仿宋_GB2312" w:hAnsi="仿宋_GB2312" w:eastAsia="仿宋_GB2312" w:cs="仿宋_GB2312"/>
          <w:sz w:val="32"/>
          <w:szCs w:val="32"/>
          <w:highlight w:val="none"/>
        </w:rPr>
        <w:t>万元。与上年度相比，收、支总计各减少</w:t>
      </w:r>
      <w:r>
        <w:rPr>
          <w:rFonts w:hint="eastAsia" w:ascii="仿宋_GB2312" w:hAnsi="仿宋_GB2312" w:eastAsia="仿宋_GB2312" w:cs="仿宋_GB2312"/>
          <w:sz w:val="32"/>
          <w:szCs w:val="32"/>
          <w:highlight w:val="none"/>
          <w:lang w:val="en-US" w:eastAsia="zh-CN"/>
        </w:rPr>
        <w:t>14.50</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1.75</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人员经费减少，响应号召，压减经费开支</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二、收入决算情况说明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年度收入合计</w:t>
      </w:r>
      <w:r>
        <w:rPr>
          <w:rFonts w:hint="eastAsia" w:ascii="仿宋_GB2312" w:hAnsi="仿宋_GB2312" w:eastAsia="仿宋_GB2312" w:cs="仿宋_GB2312"/>
          <w:sz w:val="32"/>
          <w:szCs w:val="32"/>
          <w:highlight w:val="none"/>
          <w:lang w:val="en-US" w:eastAsia="zh-CN"/>
        </w:rPr>
        <w:t>814.00</w:t>
      </w:r>
      <w:r>
        <w:rPr>
          <w:rFonts w:hint="eastAsia" w:ascii="仿宋_GB2312" w:hAnsi="仿宋_GB2312" w:eastAsia="仿宋_GB2312" w:cs="仿宋_GB2312"/>
          <w:sz w:val="32"/>
          <w:szCs w:val="32"/>
          <w:highlight w:val="none"/>
        </w:rPr>
        <w:t>万元，其中：财政拨款收入</w:t>
      </w:r>
      <w:r>
        <w:rPr>
          <w:rFonts w:hint="eastAsia" w:ascii="仿宋_GB2312" w:hAnsi="仿宋_GB2312" w:eastAsia="仿宋_GB2312" w:cs="仿宋_GB2312"/>
          <w:sz w:val="32"/>
          <w:szCs w:val="32"/>
          <w:highlight w:val="none"/>
          <w:lang w:val="en-US" w:eastAsia="zh-CN"/>
        </w:rPr>
        <w:t>814.00</w:t>
      </w:r>
      <w:r>
        <w:rPr>
          <w:rFonts w:hint="eastAsia" w:ascii="仿宋_GB2312" w:hAnsi="仿宋_GB2312" w:eastAsia="仿宋_GB2312" w:cs="仿宋_GB2312"/>
          <w:sz w:val="32"/>
          <w:szCs w:val="32"/>
          <w:highlight w:val="none"/>
        </w:rPr>
        <w:t>万元，占1</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lang w:val="en-US" w:eastAsia="zh-CN"/>
        </w:rPr>
        <w:t>上级补助收0.00万元，占0.00%；事业收入0.00万元，占0.00%；经营收入0.00万元，占0.00%；附属单位上缴收入0.00万元，占0.00%；其他收入0.00万元，占0.00%。</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三、支出决算情况说明</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年度支出合计</w:t>
      </w:r>
      <w:r>
        <w:rPr>
          <w:rFonts w:hint="eastAsia" w:ascii="仿宋_GB2312" w:hAnsi="仿宋_GB2312" w:eastAsia="仿宋_GB2312" w:cs="仿宋_GB2312"/>
          <w:sz w:val="32"/>
          <w:szCs w:val="32"/>
          <w:highlight w:val="none"/>
          <w:lang w:val="en-US" w:eastAsia="zh-CN"/>
        </w:rPr>
        <w:t>814.00</w:t>
      </w:r>
      <w:r>
        <w:rPr>
          <w:rFonts w:hint="eastAsia" w:ascii="仿宋_GB2312" w:hAnsi="仿宋_GB2312" w:eastAsia="仿宋_GB2312" w:cs="仿宋_GB2312"/>
          <w:sz w:val="32"/>
          <w:szCs w:val="32"/>
          <w:highlight w:val="none"/>
        </w:rPr>
        <w:t>万元，其中：基本支出</w:t>
      </w:r>
      <w:r>
        <w:rPr>
          <w:rFonts w:hint="eastAsia" w:ascii="仿宋_GB2312" w:hAnsi="仿宋_GB2312" w:eastAsia="仿宋_GB2312" w:cs="仿宋_GB2312"/>
          <w:sz w:val="32"/>
          <w:szCs w:val="32"/>
          <w:highlight w:val="none"/>
          <w:lang w:val="en-US" w:eastAsia="zh-CN"/>
        </w:rPr>
        <w:t>666.85</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81.92</w:t>
      </w:r>
      <w:r>
        <w:rPr>
          <w:rFonts w:hint="eastAsia" w:ascii="仿宋_GB2312" w:hAnsi="仿宋_GB2312" w:eastAsia="仿宋_GB2312" w:cs="仿宋_GB2312"/>
          <w:sz w:val="32"/>
          <w:szCs w:val="32"/>
          <w:highlight w:val="none"/>
        </w:rPr>
        <w:t>%；项目支出</w:t>
      </w:r>
      <w:r>
        <w:rPr>
          <w:rFonts w:hint="eastAsia" w:ascii="仿宋_GB2312" w:hAnsi="仿宋_GB2312" w:eastAsia="仿宋_GB2312" w:cs="仿宋_GB2312"/>
          <w:sz w:val="32"/>
          <w:szCs w:val="32"/>
          <w:highlight w:val="none"/>
          <w:lang w:val="en-US" w:eastAsia="zh-CN"/>
        </w:rPr>
        <w:t>147.15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，占</w:t>
      </w:r>
      <w:r>
        <w:rPr>
          <w:rFonts w:hint="eastAsia" w:ascii="仿宋_GB2312" w:hAnsi="仿宋_GB2312" w:eastAsia="仿宋_GB2312" w:cs="仿宋_GB2312"/>
          <w:sz w:val="32"/>
          <w:szCs w:val="32"/>
          <w:highlight w:val="none"/>
          <w:lang w:val="en-US" w:eastAsia="zh-CN"/>
        </w:rPr>
        <w:t>18.08%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sz w:val="32"/>
          <w:szCs w:val="32"/>
          <w:highlight w:val="none"/>
          <w:lang w:val="en-US" w:eastAsia="zh-CN"/>
        </w:rPr>
        <w:t>上缴上级支出0.00万元，占0.00%；经营支出0.00万元，占0.00%；对附属单位补助支出0.00万元，占0.00%。</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年度财政拨款收、支总计均为</w:t>
      </w:r>
      <w:r>
        <w:rPr>
          <w:rFonts w:hint="eastAsia" w:ascii="仿宋_GB2312" w:hAnsi="仿宋_GB2312" w:eastAsia="仿宋_GB2312" w:cs="仿宋_GB2312"/>
          <w:sz w:val="32"/>
          <w:szCs w:val="32"/>
          <w:highlight w:val="none"/>
          <w:lang w:val="en-US" w:eastAsia="zh-CN"/>
        </w:rPr>
        <w:t>814.00</w:t>
      </w:r>
      <w:r>
        <w:rPr>
          <w:rFonts w:hint="eastAsia" w:ascii="仿宋_GB2312" w:hAnsi="仿宋_GB2312" w:eastAsia="仿宋_GB2312" w:cs="仿宋_GB2312"/>
          <w:sz w:val="32"/>
          <w:szCs w:val="32"/>
          <w:highlight w:val="none"/>
        </w:rPr>
        <w:t>万元。与上年度相比，财政拨款收、支总计各减少</w:t>
      </w:r>
      <w:r>
        <w:rPr>
          <w:rFonts w:hint="eastAsia" w:ascii="仿宋_GB2312" w:hAnsi="仿宋_GB2312" w:eastAsia="仿宋_GB2312" w:cs="仿宋_GB2312"/>
          <w:sz w:val="32"/>
          <w:szCs w:val="32"/>
          <w:highlight w:val="none"/>
          <w:lang w:val="en-US" w:eastAsia="zh-CN"/>
        </w:rPr>
        <w:t>14.50</w:t>
      </w:r>
      <w:r>
        <w:rPr>
          <w:rFonts w:hint="eastAsia" w:ascii="仿宋_GB2312" w:hAnsi="仿宋_GB2312" w:eastAsia="仿宋_GB2312" w:cs="仿宋_GB2312"/>
          <w:sz w:val="32"/>
          <w:szCs w:val="32"/>
          <w:highlight w:val="none"/>
        </w:rPr>
        <w:t>万元，下降</w:t>
      </w:r>
      <w:r>
        <w:rPr>
          <w:rFonts w:hint="eastAsia" w:ascii="仿宋_GB2312" w:hAnsi="仿宋_GB2312" w:eastAsia="仿宋_GB2312" w:cs="仿宋_GB2312"/>
          <w:sz w:val="32"/>
          <w:szCs w:val="32"/>
          <w:highlight w:val="none"/>
          <w:lang w:val="en-US" w:eastAsia="zh-CN"/>
        </w:rPr>
        <w:t>1.75</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人员经费减少，响应号召，压减经费开支</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（一）总体情况。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szCs w:val="32"/>
          <w:highlight w:val="none"/>
          <w:lang w:val="en-US" w:eastAsia="zh-CN"/>
        </w:rPr>
        <w:t>814.00</w:t>
      </w:r>
      <w:r>
        <w:rPr>
          <w:rFonts w:hint="eastAsia" w:ascii="仿宋_GB2312" w:hAnsi="仿宋_GB2312" w:eastAsia="仿宋_GB2312" w:cs="仿宋_GB2312"/>
          <w:sz w:val="32"/>
          <w:szCs w:val="32"/>
          <w:highlight w:val="none"/>
        </w:rPr>
        <w:t>万元，占本年支出合计的1</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%。与上年度相比，一般公共预算财政拨款支出</w:t>
      </w:r>
      <w:r>
        <w:rPr>
          <w:rFonts w:hint="eastAsia" w:ascii="仿宋_GB2312" w:hAnsi="仿宋_GB2312" w:eastAsia="仿宋_GB2312" w:cs="仿宋_GB2312"/>
          <w:sz w:val="32"/>
          <w:szCs w:val="32"/>
          <w:highlight w:val="none"/>
          <w:lang w:eastAsia="zh-CN"/>
        </w:rPr>
        <w:t>减少</w:t>
      </w:r>
      <w:r>
        <w:rPr>
          <w:rFonts w:hint="eastAsia" w:ascii="仿宋_GB2312" w:hAnsi="仿宋_GB2312" w:eastAsia="仿宋_GB2312" w:cs="仿宋_GB2312"/>
          <w:sz w:val="32"/>
          <w:szCs w:val="32"/>
          <w:highlight w:val="none"/>
          <w:lang w:val="en-US" w:eastAsia="zh-CN"/>
        </w:rPr>
        <w:t>13.29万元，下降1.61</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响应号召，压减经费开支</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（二）结构情况。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年度一般公共预算财政拨款支出</w:t>
      </w:r>
      <w:r>
        <w:rPr>
          <w:rFonts w:hint="eastAsia" w:ascii="仿宋_GB2312" w:hAnsi="仿宋_GB2312" w:eastAsia="仿宋_GB2312" w:cs="仿宋_GB2312"/>
          <w:sz w:val="32"/>
          <w:szCs w:val="32"/>
          <w:highlight w:val="none"/>
          <w:lang w:val="en-US" w:eastAsia="zh-CN"/>
        </w:rPr>
        <w:t>814.00</w:t>
      </w:r>
      <w:r>
        <w:rPr>
          <w:rFonts w:hint="eastAsia" w:ascii="仿宋_GB2312" w:hAnsi="仿宋_GB2312" w:eastAsia="仿宋_GB2312" w:cs="仿宋_GB2312"/>
          <w:sz w:val="32"/>
          <w:szCs w:val="32"/>
          <w:highlight w:val="none"/>
        </w:rPr>
        <w:t>万元，主要用于以下方面：一般公共服务（类）支出</w:t>
      </w:r>
      <w:r>
        <w:rPr>
          <w:rFonts w:hint="eastAsia" w:ascii="仿宋_GB2312" w:hAnsi="仿宋_GB2312" w:eastAsia="仿宋_GB2312" w:cs="仿宋_GB2312"/>
          <w:sz w:val="32"/>
          <w:szCs w:val="32"/>
          <w:highlight w:val="none"/>
          <w:lang w:val="en-US" w:eastAsia="zh-CN"/>
        </w:rPr>
        <w:t>799.88</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98.27</w:t>
      </w:r>
      <w:r>
        <w:rPr>
          <w:rFonts w:hint="eastAsia" w:ascii="仿宋_GB2312" w:hAnsi="仿宋_GB2312" w:eastAsia="仿宋_GB2312" w:cs="仿宋_GB2312"/>
          <w:sz w:val="32"/>
          <w:szCs w:val="32"/>
          <w:highlight w:val="none"/>
        </w:rPr>
        <w:t>%；社会保障和就业支出（类）支出</w:t>
      </w:r>
      <w:r>
        <w:rPr>
          <w:rFonts w:hint="eastAsia" w:ascii="仿宋_GB2312" w:hAnsi="仿宋_GB2312" w:eastAsia="仿宋_GB2312" w:cs="仿宋_GB2312"/>
          <w:sz w:val="32"/>
          <w:szCs w:val="32"/>
          <w:highlight w:val="none"/>
          <w:lang w:val="en-US" w:eastAsia="zh-CN"/>
        </w:rPr>
        <w:t>14.12</w:t>
      </w:r>
      <w:r>
        <w:rPr>
          <w:rFonts w:hint="eastAsia"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1.73</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（三）具体情况。</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年度一般公共预算财政拨款支出年初预算为</w:t>
      </w:r>
      <w:r>
        <w:rPr>
          <w:rFonts w:hint="eastAsia" w:ascii="仿宋_GB2312" w:hAnsi="仿宋_GB2312" w:eastAsia="仿宋_GB2312" w:cs="仿宋_GB2312"/>
          <w:sz w:val="32"/>
          <w:szCs w:val="32"/>
          <w:highlight w:val="none"/>
          <w:lang w:val="en-US" w:eastAsia="zh-CN"/>
        </w:rPr>
        <w:t>567.41</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814.00</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143.46</w:t>
      </w:r>
      <w:r>
        <w:rPr>
          <w:rFonts w:hint="eastAsia" w:ascii="仿宋_GB2312" w:hAnsi="仿宋_GB2312" w:eastAsia="仿宋_GB2312" w:cs="仿宋_GB2312"/>
          <w:sz w:val="32"/>
          <w:szCs w:val="32"/>
          <w:highlight w:val="none"/>
        </w:rPr>
        <w:t>%。其中：</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rPr>
        <w:t>．一般公共服务支出（类）宣传事务（款）行政运行（项）。</w:t>
      </w:r>
      <w:r>
        <w:rPr>
          <w:rFonts w:hint="eastAsia" w:ascii="仿宋_GB2312" w:hAnsi="仿宋_GB2312" w:eastAsia="仿宋_GB2312" w:cs="仿宋_GB2312"/>
          <w:sz w:val="32"/>
          <w:szCs w:val="32"/>
          <w:highlight w:val="none"/>
        </w:rPr>
        <w:t>年初预算</w:t>
      </w:r>
      <w:r>
        <w:rPr>
          <w:rFonts w:hint="eastAsia" w:ascii="仿宋_GB2312" w:hAnsi="仿宋_GB2312" w:eastAsia="仿宋_GB2312" w:cs="仿宋_GB2312"/>
          <w:sz w:val="32"/>
          <w:szCs w:val="32"/>
          <w:highlight w:val="none"/>
          <w:lang w:val="en-US" w:eastAsia="zh-CN"/>
        </w:rPr>
        <w:t>555.28</w:t>
      </w:r>
      <w:r>
        <w:rPr>
          <w:rFonts w:hint="eastAsia" w:ascii="仿宋_GB2312" w:hAnsi="仿宋_GB2312" w:eastAsia="仿宋_GB2312" w:cs="仿宋_GB2312"/>
          <w:sz w:val="32"/>
          <w:szCs w:val="32"/>
          <w:highlight w:val="none"/>
        </w:rPr>
        <w:t>万元，支出</w:t>
      </w:r>
      <w:bookmarkStart w:id="0" w:name="_GoBack"/>
      <w:bookmarkEnd w:id="0"/>
      <w:r>
        <w:rPr>
          <w:rFonts w:hint="eastAsia" w:ascii="仿宋_GB2312" w:hAnsi="仿宋_GB2312" w:eastAsia="仿宋_GB2312" w:cs="仿宋_GB2312"/>
          <w:sz w:val="32"/>
          <w:szCs w:val="32"/>
          <w:highlight w:val="none"/>
        </w:rPr>
        <w:t>决算为</w:t>
      </w:r>
      <w:r>
        <w:rPr>
          <w:rFonts w:hint="eastAsia" w:ascii="仿宋_GB2312" w:hAnsi="仿宋_GB2312" w:eastAsia="仿宋_GB2312" w:cs="仿宋_GB2312"/>
          <w:sz w:val="32"/>
          <w:szCs w:val="32"/>
          <w:highlight w:val="none"/>
          <w:lang w:val="en-US" w:eastAsia="zh-CN"/>
        </w:rPr>
        <w:t>799.88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，完成年初预算的</w:t>
      </w:r>
      <w:r>
        <w:rPr>
          <w:rFonts w:hint="eastAsia" w:ascii="仿宋_GB2312" w:hAnsi="仿宋_GB2312" w:eastAsia="仿宋_GB2312" w:cs="仿宋_GB2312"/>
          <w:sz w:val="32"/>
          <w:szCs w:val="32"/>
          <w:highlight w:val="none"/>
          <w:lang w:val="en-US" w:eastAsia="zh-CN"/>
        </w:rPr>
        <w:t>144.05%</w:t>
      </w:r>
      <w:r>
        <w:rPr>
          <w:rFonts w:hint="eastAsia" w:ascii="仿宋_GB2312" w:hAnsi="仿宋_GB2312" w:eastAsia="仿宋_GB2312" w:cs="仿宋_GB2312"/>
          <w:sz w:val="32"/>
          <w:szCs w:val="32"/>
          <w:highlight w:val="none"/>
        </w:rPr>
        <w:t>。决算数与年初预算数存在差异的主要原因是</w:t>
      </w:r>
      <w:r>
        <w:rPr>
          <w:rFonts w:hint="eastAsia" w:ascii="仿宋_GB2312" w:hAnsi="仿宋_GB2312" w:eastAsia="仿宋_GB2312" w:cs="仿宋_GB2312"/>
          <w:sz w:val="32"/>
          <w:szCs w:val="32"/>
          <w:highlight w:val="none"/>
          <w:lang w:eastAsia="zh-CN"/>
        </w:rPr>
        <w:t>人员工资标准提高</w:t>
      </w:r>
      <w:r>
        <w:rPr>
          <w:rFonts w:hint="eastAsia" w:ascii="仿宋_GB2312" w:hAnsi="仿宋_GB2312" w:eastAsia="仿宋_GB2312" w:cs="仿宋_GB2312"/>
          <w:sz w:val="32"/>
          <w:szCs w:val="32"/>
          <w:highlight w:val="none"/>
        </w:rPr>
        <w:t>。</w:t>
      </w:r>
    </w:p>
    <w:p>
      <w:pPr>
        <w:widowControl/>
        <w:spacing w:line="590" w:lineRule="exact"/>
        <w:ind w:firstLine="643" w:firstLineChars="200"/>
        <w:rPr>
          <w:rFonts w:hint="eastAsia" w:ascii="黑体" w:hAnsi="黑体" w:eastAsia="黑体" w:cs="黑体"/>
          <w:sz w:val="32"/>
          <w:szCs w:val="32"/>
          <w:highlight w:val="none"/>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rPr>
        <w:t>．社会保障和就业支出（类）行政事业单位养老支出（款）行政单位离退休（项）。</w:t>
      </w:r>
      <w:r>
        <w:rPr>
          <w:rFonts w:hint="eastAsia" w:ascii="仿宋_GB2312" w:hAnsi="仿宋_GB2312" w:eastAsia="仿宋_GB2312" w:cs="仿宋_GB2312"/>
          <w:sz w:val="32"/>
          <w:szCs w:val="32"/>
          <w:highlight w:val="none"/>
        </w:rPr>
        <w:t>年初预算为</w:t>
      </w:r>
      <w:r>
        <w:rPr>
          <w:rFonts w:hint="eastAsia" w:ascii="仿宋_GB2312" w:hAnsi="仿宋_GB2312" w:eastAsia="仿宋_GB2312" w:cs="仿宋_GB2312"/>
          <w:sz w:val="32"/>
          <w:szCs w:val="32"/>
          <w:highlight w:val="none"/>
          <w:lang w:val="en-US" w:eastAsia="zh-CN"/>
        </w:rPr>
        <w:t>12.13</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14.12</w:t>
      </w:r>
      <w:r>
        <w:rPr>
          <w:rFonts w:hint="eastAsia" w:ascii="仿宋_GB2312" w:hAnsi="仿宋_GB2312" w:eastAsia="仿宋_GB2312" w:cs="仿宋_GB2312"/>
          <w:sz w:val="32"/>
          <w:szCs w:val="32"/>
          <w:highlight w:val="none"/>
        </w:rPr>
        <w:t>万元，完成年初预算的</w:t>
      </w:r>
      <w:r>
        <w:rPr>
          <w:rFonts w:hint="eastAsia" w:ascii="仿宋_GB2312" w:hAnsi="仿宋_GB2312" w:eastAsia="仿宋_GB2312" w:cs="仿宋_GB2312"/>
          <w:sz w:val="32"/>
          <w:szCs w:val="32"/>
          <w:highlight w:val="none"/>
          <w:lang w:val="en-US" w:eastAsia="zh-CN"/>
        </w:rPr>
        <w:t>116.41</w:t>
      </w:r>
      <w:r>
        <w:rPr>
          <w:rFonts w:hint="eastAsia" w:ascii="仿宋_GB2312" w:hAnsi="仿宋_GB2312" w:eastAsia="仿宋_GB2312" w:cs="仿宋_GB2312"/>
          <w:sz w:val="32"/>
          <w:szCs w:val="32"/>
          <w:highlight w:val="none"/>
        </w:rPr>
        <w:t>%。决算数与年初预算数存在差异的主要原因是2</w:t>
      </w:r>
      <w:r>
        <w:rPr>
          <w:rFonts w:ascii="仿宋_GB2312" w:hAnsi="仿宋_GB2312" w:eastAsia="仿宋_GB2312" w:cs="仿宋_GB2312"/>
          <w:sz w:val="32"/>
          <w:szCs w:val="32"/>
          <w:highlight w:val="none"/>
        </w:rPr>
        <w:t>02</w:t>
      </w:r>
      <w:r>
        <w:rPr>
          <w:rFonts w:hint="eastAsia" w:ascii="仿宋_GB2312" w:hAnsi="仿宋_GB2312" w:eastAsia="仿宋_GB2312" w:cs="仿宋_GB2312"/>
          <w:sz w:val="32"/>
          <w:szCs w:val="32"/>
          <w:highlight w:val="none"/>
          <w:lang w:val="en-US" w:eastAsia="zh-CN"/>
        </w:rPr>
        <w:t>1年退休人员增加</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年度一般公共预算财政拨款基本支出</w:t>
      </w:r>
      <w:r>
        <w:rPr>
          <w:rFonts w:hint="eastAsia" w:ascii="仿宋_GB2312" w:hAnsi="仿宋_GB2312" w:eastAsia="仿宋_GB2312" w:cs="仿宋_GB2312"/>
          <w:sz w:val="32"/>
          <w:szCs w:val="32"/>
          <w:highlight w:val="none"/>
          <w:lang w:val="en-US" w:eastAsia="zh-CN"/>
        </w:rPr>
        <w:t>666.85</w:t>
      </w:r>
      <w:r>
        <w:rPr>
          <w:rFonts w:hint="eastAsia" w:ascii="仿宋_GB2312" w:hAnsi="仿宋_GB2312" w:eastAsia="仿宋_GB2312" w:cs="仿宋_GB2312"/>
          <w:sz w:val="32"/>
          <w:szCs w:val="32"/>
          <w:highlight w:val="none"/>
        </w:rPr>
        <w:t>万元。其中：人员经费</w:t>
      </w:r>
      <w:r>
        <w:rPr>
          <w:rFonts w:hint="eastAsia" w:ascii="仿宋_GB2312" w:hAnsi="仿宋_GB2312" w:eastAsia="仿宋_GB2312" w:cs="仿宋_GB2312"/>
          <w:sz w:val="32"/>
          <w:szCs w:val="32"/>
          <w:highlight w:val="none"/>
          <w:lang w:val="en-US" w:eastAsia="zh-CN"/>
        </w:rPr>
        <w:t>440.3</w:t>
      </w:r>
      <w:r>
        <w:rPr>
          <w:rFonts w:hint="eastAsia" w:ascii="仿宋_GB2312" w:hAnsi="仿宋_GB2312" w:eastAsia="仿宋_GB2312" w:cs="仿宋_GB2312"/>
          <w:sz w:val="32"/>
          <w:szCs w:val="32"/>
          <w:highlight w:val="none"/>
        </w:rPr>
        <w:t>万元，主要包括：基本工资、津贴补贴、奖金、机关事业单位基本养老保险缴费、职工基本医疗保险缴费、其他社会保障缴费、住房公积金、</w:t>
      </w:r>
      <w:r>
        <w:rPr>
          <w:rFonts w:hint="eastAsia" w:ascii="仿宋_GB2312" w:hAnsi="仿宋_GB2312" w:eastAsia="仿宋_GB2312" w:cs="仿宋_GB2312"/>
          <w:sz w:val="32"/>
          <w:szCs w:val="32"/>
          <w:highlight w:val="none"/>
          <w:lang w:eastAsia="zh-CN"/>
        </w:rPr>
        <w:t>医疗费、</w:t>
      </w:r>
      <w:r>
        <w:rPr>
          <w:rFonts w:hint="eastAsia" w:ascii="仿宋_GB2312" w:hAnsi="仿宋_GB2312" w:eastAsia="仿宋_GB2312" w:cs="仿宋_GB2312"/>
          <w:sz w:val="32"/>
          <w:szCs w:val="32"/>
          <w:highlight w:val="none"/>
        </w:rPr>
        <w:t>退休费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生活补助；公用经费</w:t>
      </w:r>
      <w:r>
        <w:rPr>
          <w:rFonts w:hint="eastAsia" w:ascii="仿宋_GB2312" w:hAnsi="仿宋_GB2312" w:eastAsia="仿宋_GB2312" w:cs="仿宋_GB2312"/>
          <w:sz w:val="32"/>
          <w:szCs w:val="32"/>
          <w:highlight w:val="none"/>
          <w:lang w:val="en-US" w:eastAsia="zh-CN"/>
        </w:rPr>
        <w:t>226.55</w:t>
      </w:r>
      <w:r>
        <w:rPr>
          <w:rFonts w:hint="eastAsia" w:ascii="仿宋_GB2312" w:hAnsi="仿宋_GB2312" w:eastAsia="仿宋_GB2312" w:cs="仿宋_GB2312"/>
          <w:sz w:val="32"/>
          <w:szCs w:val="32"/>
          <w:highlight w:val="none"/>
        </w:rPr>
        <w:t>万元，主要包括：办公费、印刷费、邮电费、差旅费、维修（护）费、租赁费、劳务费、委托业务费、公务用车运行维护费、其他交通费用、其他商品和服务支出、办公设备购置。</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（一）“三公”经费财政拨款支出决算总体情况说明。</w:t>
      </w:r>
    </w:p>
    <w:p>
      <w:pPr>
        <w:widowControl/>
        <w:spacing w:line="59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年度“三公”经费财政拨款支出预算为</w:t>
      </w:r>
      <w:r>
        <w:rPr>
          <w:rFonts w:ascii="仿宋_GB2312" w:hAnsi="仿宋_GB2312" w:eastAsia="仿宋_GB2312" w:cs="仿宋_GB2312"/>
          <w:sz w:val="32"/>
          <w:szCs w:val="32"/>
          <w:highlight w:val="none"/>
        </w:rPr>
        <w:t>1.35</w:t>
      </w:r>
      <w:r>
        <w:rPr>
          <w:rFonts w:hint="eastAsia" w:ascii="仿宋_GB2312" w:hAnsi="仿宋_GB2312" w:eastAsia="仿宋_GB2312" w:cs="仿宋_GB2312"/>
          <w:sz w:val="32"/>
          <w:szCs w:val="32"/>
          <w:highlight w:val="none"/>
        </w:rPr>
        <w:t>万元，支出决算为1</w:t>
      </w:r>
      <w:r>
        <w:rPr>
          <w:rFonts w:ascii="仿宋_GB2312" w:hAnsi="仿宋_GB2312" w:eastAsia="仿宋_GB2312" w:cs="仿宋_GB2312"/>
          <w:sz w:val="32"/>
          <w:szCs w:val="32"/>
          <w:highlight w:val="none"/>
        </w:rPr>
        <w:t>.35</w:t>
      </w:r>
      <w:r>
        <w:rPr>
          <w:rFonts w:hint="eastAsia" w:ascii="仿宋_GB2312" w:hAnsi="仿宋_GB2312" w:eastAsia="仿宋_GB2312" w:cs="仿宋_GB2312"/>
          <w:sz w:val="32"/>
          <w:szCs w:val="32"/>
          <w:highlight w:val="none"/>
        </w:rPr>
        <w:t>万元，完成预算的1</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决算数与预算数无差异。</w:t>
      </w:r>
    </w:p>
    <w:p>
      <w:pPr>
        <w:widowControl/>
        <w:spacing w:line="590" w:lineRule="exact"/>
        <w:ind w:firstLine="643" w:firstLineChars="200"/>
        <w:outlineLvl w:val="2"/>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年度“三公”经费财政拨款支出决算中，因公出国（境）费支出决算0</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完成预算的0.00%，占0.00%</w:t>
      </w:r>
      <w:r>
        <w:rPr>
          <w:rFonts w:hint="eastAsia" w:ascii="仿宋_GB2312" w:hAnsi="仿宋_GB2312" w:eastAsia="仿宋_GB2312" w:cs="仿宋_GB2312"/>
          <w:sz w:val="32"/>
          <w:szCs w:val="32"/>
          <w:highlight w:val="none"/>
        </w:rPr>
        <w:t>；公务用车购置及运行费支出决算</w:t>
      </w:r>
      <w:r>
        <w:rPr>
          <w:rFonts w:hint="eastAsia" w:ascii="仿宋_GB2312" w:hAnsi="仿宋_GB2312" w:eastAsia="仿宋_GB2312" w:cs="仿宋_GB2312"/>
          <w:sz w:val="32"/>
          <w:szCs w:val="32"/>
          <w:highlight w:val="none"/>
          <w:lang w:val="en-US" w:eastAsia="zh-CN"/>
        </w:rPr>
        <w:t>1.35</w:t>
      </w:r>
      <w:r>
        <w:rPr>
          <w:rFonts w:hint="eastAsia" w:ascii="仿宋_GB2312" w:hAnsi="仿宋_GB2312" w:eastAsia="仿宋_GB2312" w:cs="仿宋_GB2312"/>
          <w:sz w:val="32"/>
          <w:szCs w:val="32"/>
          <w:highlight w:val="none"/>
        </w:rPr>
        <w:t>万元，完成预算的1</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%，占1</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%；公务接待费支出决算0</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完成预算的0.00%，占0.00%</w:t>
      </w:r>
      <w:r>
        <w:rPr>
          <w:rFonts w:hint="eastAsia" w:ascii="仿宋_GB2312" w:hAnsi="仿宋_GB2312" w:eastAsia="仿宋_GB2312" w:cs="仿宋_GB2312"/>
          <w:sz w:val="32"/>
          <w:szCs w:val="32"/>
          <w:highlight w:val="none"/>
        </w:rPr>
        <w:t>。具体情况如下：</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1．因公出国（境）费</w:t>
      </w:r>
      <w:r>
        <w:rPr>
          <w:rFonts w:hint="eastAsia" w:ascii="仿宋_GB2312" w:hAnsi="仿宋_GB2312" w:eastAsia="仿宋_GB2312" w:cs="仿宋_GB2312"/>
          <w:sz w:val="32"/>
          <w:szCs w:val="32"/>
          <w:highlight w:val="none"/>
        </w:rPr>
        <w:t>预算为0</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rPr>
        <w:t>万元，支出决算为0</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，完成预算的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。全年因公出国（境）团组0个，累计0人次。</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2．公务用车购置及运行费</w:t>
      </w:r>
      <w:r>
        <w:rPr>
          <w:rFonts w:hint="eastAsia" w:ascii="仿宋_GB2312" w:hAnsi="仿宋_GB2312" w:eastAsia="仿宋_GB2312" w:cs="仿宋_GB2312"/>
          <w:sz w:val="32"/>
          <w:szCs w:val="32"/>
          <w:highlight w:val="none"/>
        </w:rPr>
        <w:t>预算为1</w:t>
      </w:r>
      <w:r>
        <w:rPr>
          <w:rFonts w:ascii="仿宋_GB2312" w:hAnsi="仿宋_GB2312" w:eastAsia="仿宋_GB2312" w:cs="仿宋_GB2312"/>
          <w:sz w:val="32"/>
          <w:szCs w:val="32"/>
          <w:highlight w:val="none"/>
        </w:rPr>
        <w:t>.35</w:t>
      </w:r>
      <w:r>
        <w:rPr>
          <w:rFonts w:hint="eastAsia" w:ascii="仿宋_GB2312" w:hAnsi="仿宋_GB2312" w:eastAsia="仿宋_GB2312" w:cs="仿宋_GB2312"/>
          <w:sz w:val="32"/>
          <w:szCs w:val="32"/>
          <w:highlight w:val="none"/>
        </w:rPr>
        <w:t>万元，支出决算为1</w:t>
      </w:r>
      <w:r>
        <w:rPr>
          <w:rFonts w:ascii="仿宋_GB2312" w:hAnsi="仿宋_GB2312" w:eastAsia="仿宋_GB2312" w:cs="仿宋_GB2312"/>
          <w:sz w:val="32"/>
          <w:szCs w:val="32"/>
          <w:highlight w:val="none"/>
        </w:rPr>
        <w:t>.35</w:t>
      </w:r>
      <w:r>
        <w:rPr>
          <w:rFonts w:hint="eastAsia" w:ascii="仿宋_GB2312" w:hAnsi="仿宋_GB2312" w:eastAsia="仿宋_GB2312" w:cs="仿宋_GB2312"/>
          <w:sz w:val="32"/>
          <w:szCs w:val="32"/>
          <w:highlight w:val="none"/>
        </w:rPr>
        <w:t>万元，完成预算的1</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%。其中：</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公务用车购置支出</w:t>
      </w:r>
      <w:r>
        <w:rPr>
          <w:rFonts w:hint="eastAsia" w:ascii="仿宋_GB2312" w:hAnsi="仿宋_GB2312" w:eastAsia="仿宋_GB2312" w:cs="仿宋_GB2312"/>
          <w:sz w:val="32"/>
          <w:szCs w:val="32"/>
          <w:highlight w:val="none"/>
        </w:rPr>
        <w:t>0</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rPr>
        <w:t>万元，购置车辆0辆。</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公务用车运行支出</w:t>
      </w: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.35</w:t>
      </w:r>
      <w:r>
        <w:rPr>
          <w:rFonts w:hint="eastAsia" w:ascii="仿宋_GB2312" w:hAnsi="仿宋_GB2312" w:eastAsia="仿宋_GB2312" w:cs="仿宋_GB2312"/>
          <w:sz w:val="32"/>
          <w:szCs w:val="32"/>
          <w:highlight w:val="none"/>
        </w:rPr>
        <w:t>万元。主要用于我单位公务用车</w:t>
      </w:r>
      <w:r>
        <w:rPr>
          <w:rFonts w:ascii="仿宋_GB2312" w:hAnsi="仿宋_GB2312" w:eastAsia="仿宋_GB2312" w:cs="仿宋_GB2312"/>
          <w:sz w:val="32"/>
          <w:szCs w:val="32"/>
          <w:highlight w:val="none"/>
        </w:rPr>
        <w:t>的日常维修保养、保险等开支</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年期末，部门开支财政拨款的公务用车保有量为1辆。</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3.公务接待费</w:t>
      </w:r>
      <w:r>
        <w:rPr>
          <w:rFonts w:hint="eastAsia" w:ascii="仿宋_GB2312" w:hAnsi="仿宋_GB2312" w:eastAsia="仿宋_GB2312" w:cs="仿宋_GB2312"/>
          <w:sz w:val="32"/>
          <w:szCs w:val="32"/>
          <w:highlight w:val="none"/>
        </w:rPr>
        <w:t>预算为0</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rPr>
        <w:t>万元，支出决算为0</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，完成预算的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决算数与预算数无差异。</w:t>
      </w:r>
      <w:r>
        <w:rPr>
          <w:rFonts w:hint="eastAsia" w:ascii="仿宋_GB2312" w:hAnsi="仿宋_GB2312" w:eastAsia="仿宋_GB2312" w:cs="仿宋_GB2312"/>
          <w:sz w:val="32"/>
          <w:szCs w:val="32"/>
          <w:highlight w:val="none"/>
        </w:rPr>
        <w:t>其中：</w:t>
      </w:r>
    </w:p>
    <w:p>
      <w:pPr>
        <w:widowControl/>
        <w:spacing w:line="590"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外宾接待支出</w:t>
      </w:r>
      <w:r>
        <w:rPr>
          <w:rFonts w:hint="eastAsia" w:ascii="仿宋_GB2312" w:hAnsi="仿宋_GB2312" w:eastAsia="仿宋_GB2312" w:cs="仿宋_GB2312"/>
          <w:sz w:val="32"/>
          <w:szCs w:val="32"/>
          <w:highlight w:val="none"/>
        </w:rPr>
        <w:t>0.00万元。202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年共接待国（境）外来访团组0个、来访外宾0人次（不包括陪同人员）。</w:t>
      </w:r>
    </w:p>
    <w:p>
      <w:pPr>
        <w:widowControl/>
        <w:spacing w:line="59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其他国内公务接待支出</w:t>
      </w:r>
      <w:r>
        <w:rPr>
          <w:rFonts w:hint="eastAsia" w:ascii="仿宋_GB2312" w:hAnsi="仿宋_GB2312" w:eastAsia="仿宋_GB2312" w:cs="仿宋_GB2312"/>
          <w:sz w:val="32"/>
          <w:szCs w:val="32"/>
          <w:highlight w:val="none"/>
        </w:rPr>
        <w:t>0</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rPr>
        <w:t>万元。202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年共接待国内来访团组0个、来宾0人次（不包括陪同人员）。</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八、政府性基金预算财政拨款支出决算情况说明</w:t>
      </w:r>
    </w:p>
    <w:p>
      <w:pPr>
        <w:widowControl/>
        <w:spacing w:line="59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2021年度政府性基金预算财政拨款支出年初预算为0.00万元，支出决算为0.00万元，完成预算的0.00%。不存在项目年末结转和结余资金数额较大。情况说明：</w:t>
      </w:r>
      <w:r>
        <w:rPr>
          <w:rFonts w:hint="eastAsia" w:ascii="仿宋_GB2312" w:hAnsi="仿宋_GB2312" w:eastAsia="仿宋_GB2312" w:cs="仿宋_GB2312"/>
          <w:sz w:val="32"/>
          <w:szCs w:val="32"/>
          <w:highlight w:val="none"/>
        </w:rPr>
        <w:t>我单位202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年度没有政府性基金收入，也没有使用政府性基金安排的支出。</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九、机关运行经费支出情况说明</w:t>
      </w:r>
    </w:p>
    <w:p>
      <w:pPr>
        <w:autoSpaceDE w:val="0"/>
        <w:autoSpaceDN w:val="0"/>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2021年度机关运行经费年初预算为19.45万元，支出决算为226.55万元，完成预算的1164.78%。</w:t>
      </w:r>
      <w:r>
        <w:rPr>
          <w:rFonts w:hint="eastAsia" w:ascii="仿宋_GB2312" w:hAnsi="仿宋_GB2312" w:eastAsia="仿宋_GB2312" w:cs="仿宋_GB2312"/>
          <w:sz w:val="32"/>
          <w:szCs w:val="32"/>
          <w:highlight w:val="none"/>
        </w:rPr>
        <w:t>决算数与</w:t>
      </w: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预算数存在差异的主要原因是</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color w:val="000000"/>
          <w:sz w:val="32"/>
          <w:szCs w:val="32"/>
          <w:highlight w:val="none"/>
        </w:rPr>
        <w:t>正常运转及正常履职需要的办公费、日常维修、差旅费</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其他支出</w:t>
      </w:r>
      <w:r>
        <w:rPr>
          <w:rFonts w:hint="eastAsia" w:ascii="仿宋_GB2312" w:hAnsi="仿宋_GB2312" w:eastAsia="仿宋_GB2312" w:cs="仿宋_GB2312"/>
          <w:color w:val="000000"/>
          <w:sz w:val="32"/>
          <w:szCs w:val="32"/>
          <w:highlight w:val="none"/>
          <w:lang w:eastAsia="zh-CN"/>
        </w:rPr>
        <w:t>增加</w:t>
      </w:r>
      <w:r>
        <w:rPr>
          <w:rFonts w:hint="eastAsia" w:ascii="仿宋_GB2312" w:hAnsi="仿宋_GB2312" w:eastAsia="仿宋_GB2312" w:cs="仿宋_GB2312"/>
          <w:color w:val="000000"/>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十、政府采购支出情况说明</w:t>
      </w:r>
    </w:p>
    <w:p>
      <w:pPr>
        <w:widowControl/>
        <w:spacing w:line="590" w:lineRule="exact"/>
        <w:ind w:firstLine="640" w:firstLineChars="200"/>
        <w:outlineLvl w:val="1"/>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auto"/>
          <w:sz w:val="32"/>
          <w:szCs w:val="32"/>
          <w:highlight w:val="none"/>
          <w:lang w:val="en-US" w:eastAsia="zh-CN"/>
        </w:rPr>
        <w:t>2021年度政府采购支出总额0.00万元，其中：政府采购货物支出0.00万元、政府采购工程支出0.00万元、政府采购服务支出0.00万元。</w:t>
      </w:r>
      <w:r>
        <w:rPr>
          <w:rFonts w:hint="eastAsia" w:ascii="仿宋_GB2312" w:hAnsi="仿宋_GB2312" w:eastAsia="仿宋_GB2312" w:cs="仿宋_GB2312"/>
          <w:sz w:val="32"/>
          <w:szCs w:val="32"/>
          <w:highlight w:val="none"/>
        </w:rPr>
        <w:t>授予中小企业合同金额</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%，其中：授予小微企业合同金额</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万元，占政府采购支出总额的</w:t>
      </w:r>
      <w:r>
        <w:rPr>
          <w:rFonts w:hint="eastAsia" w:ascii="仿宋_GB2312" w:hAnsi="仿宋_GB2312" w:eastAsia="仿宋_GB2312" w:cs="仿宋_GB2312"/>
          <w:sz w:val="32"/>
          <w:szCs w:val="32"/>
          <w:highlight w:val="none"/>
          <w:lang w:val="en-US" w:eastAsia="zh-CN"/>
        </w:rPr>
        <w:t>0.00</w:t>
      </w:r>
      <w:r>
        <w:rPr>
          <w:rFonts w:hint="eastAsia" w:ascii="仿宋_GB2312" w:hAnsi="仿宋_GB2312" w:eastAsia="仿宋_GB2312" w:cs="仿宋_GB2312"/>
          <w:sz w:val="32"/>
          <w:szCs w:val="32"/>
          <w:highlight w:val="none"/>
        </w:rPr>
        <w:t>%。</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十一、国有资产占用情况说明</w:t>
      </w:r>
    </w:p>
    <w:p>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highlight w:val="none"/>
        </w:rPr>
        <w:t>2021</w:t>
      </w:r>
      <w:r>
        <w:rPr>
          <w:rFonts w:hint="eastAsia" w:ascii="仿宋_GB2312" w:hAnsi="仿宋_GB2312" w:eastAsia="仿宋_GB2312" w:cs="仿宋_GB2312"/>
          <w:sz w:val="32"/>
          <w:szCs w:val="32"/>
          <w:highlight w:val="none"/>
        </w:rPr>
        <w:t>年期末，我单位共有车辆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辆，其中：省级领导干部用车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辆、主要领导干部用车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辆、机要通信用车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辆、应急保障车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辆、执法执勤用车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辆、特种专业技术用车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辆、离退休干部用车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辆、其他用车</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辆；单位价值50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万元以上通用设备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台（套），单位价值100</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万元以上专用设备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台（套）。</w:t>
      </w:r>
    </w:p>
    <w:p>
      <w:pPr>
        <w:widowControl/>
        <w:spacing w:line="590" w:lineRule="exact"/>
        <w:ind w:firstLine="640" w:firstLineChars="200"/>
        <w:outlineLvl w:val="1"/>
        <w:rPr>
          <w:rFonts w:hint="eastAsia" w:ascii="黑体" w:hAnsi="黑体" w:eastAsia="黑体" w:cs="黑体"/>
          <w:sz w:val="32"/>
          <w:szCs w:val="32"/>
          <w:highlight w:val="none"/>
        </w:rPr>
      </w:pPr>
      <w:r>
        <w:rPr>
          <w:rFonts w:hint="eastAsia" w:ascii="黑体" w:hAnsi="黑体" w:eastAsia="黑体" w:cs="黑体"/>
          <w:sz w:val="32"/>
          <w:szCs w:val="32"/>
          <w:highlight w:val="none"/>
        </w:rPr>
        <w:t>十二、预算绩效情况说明</w:t>
      </w:r>
    </w:p>
    <w:p>
      <w:pPr>
        <w:keepNext w:val="0"/>
        <w:keepLines w:val="0"/>
        <w:pageBreakBefore w:val="0"/>
        <w:widowControl/>
        <w:kinsoku/>
        <w:wordWrap/>
        <w:overflowPunct/>
        <w:topLinePunct w:val="0"/>
        <w:autoSpaceDE/>
        <w:autoSpaceDN/>
        <w:bidi w:val="0"/>
        <w:adjustRightInd/>
        <w:snapToGrid/>
        <w:spacing w:line="360" w:lineRule="auto"/>
        <w:ind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（一）绩效管理工作开展情况。</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我单位按照《中共许昌市委 许昌市人民政府关于全面实施预算绩效管理的实施意见》（许发〔2021〕13号）文件要求，对本部门（单位）整体支出和项目支出开展全过程预算绩效管理。2021年我单位纳入预算绩效管理的支出总额为814.00万元，其中：基本支出666.85万元；支出项目9个，支出金额147.15万元。开展项目绩效自评项目9个，自评金额147.15万元；纳入重点绩效评价9个，评价金额147.15万元。</w:t>
      </w:r>
    </w:p>
    <w:p>
      <w:pPr>
        <w:keepNext w:val="0"/>
        <w:keepLines w:val="0"/>
        <w:pageBreakBefore w:val="0"/>
        <w:widowControl/>
        <w:kinsoku/>
        <w:wordWrap/>
        <w:overflowPunct/>
        <w:topLinePunct w:val="0"/>
        <w:autoSpaceDE/>
        <w:autoSpaceDN/>
        <w:bidi w:val="0"/>
        <w:adjustRightInd/>
        <w:snapToGrid/>
        <w:spacing w:line="360" w:lineRule="auto"/>
        <w:ind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（二）部门（单位）整体和项目绩效自评结果。</w:t>
      </w:r>
    </w:p>
    <w:p>
      <w:pPr>
        <w:autoSpaceDE w:val="0"/>
        <w:autoSpaceDN w:val="0"/>
        <w:adjustRightInd w:val="0"/>
        <w:spacing w:line="360" w:lineRule="auto"/>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《许昌市建安区财政局关于开展2021年度区级预算项目绩效自评工作的通知》（建安财效〔2022〕2号）等文件精神，我单位对本单位整体绩效目标和项目支出绩效目标进行了自评。  一是单位整体绩效自评情况。</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中共许昌市建安</w:t>
      </w:r>
      <w:r>
        <w:rPr>
          <w:rFonts w:hint="eastAsia" w:ascii="仿宋_GB2312" w:hAnsi="仿宋_GB2312" w:eastAsia="仿宋_GB2312" w:cs="仿宋_GB2312"/>
          <w:sz w:val="32"/>
          <w:szCs w:val="32"/>
          <w:highlight w:val="none"/>
        </w:rPr>
        <w:t>区委宣传部</w:t>
      </w:r>
      <w:r>
        <w:rPr>
          <w:rFonts w:hint="eastAsia" w:ascii="仿宋_GB2312" w:hAnsi="仿宋_GB2312" w:eastAsia="仿宋_GB2312" w:cs="仿宋_GB2312"/>
          <w:kern w:val="0"/>
          <w:sz w:val="32"/>
          <w:szCs w:val="32"/>
          <w:highlight w:val="none"/>
          <w:lang w:eastAsia="zh-CN"/>
        </w:rPr>
        <w:t>（本级）</w:t>
      </w:r>
      <w:r>
        <w:rPr>
          <w:rFonts w:hint="eastAsia" w:ascii="仿宋_GB2312" w:hAnsi="仿宋_GB2312" w:eastAsia="仿宋_GB2312" w:cs="仿宋_GB2312"/>
          <w:sz w:val="32"/>
          <w:szCs w:val="32"/>
          <w:highlight w:val="none"/>
        </w:rPr>
        <w:t>资金来源于财政拨款。资金主要用于办案。项目所有开支均按照我单位财务管理制度和绩效管理制度执行，遵守相关法律法规和业务管理规定，手续完备，及时收集相关资料并归档，确保统计各项工作正常运转。无截留、无挤占、挪用，确保专款专用。绩效管理工作职能和职责分工明确，整体工作成果和风采宣传到位。根据实际工作情况，逐步完善各项制度。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年在各部门的共同努力下，实现绩效目标，圆满地完成了各项任务。</w:t>
      </w:r>
      <w:r>
        <w:rPr>
          <w:rFonts w:hint="eastAsia" w:ascii="仿宋_GB2312" w:hAnsi="仿宋_GB2312" w:eastAsia="仿宋_GB2312" w:cs="仿宋_GB2312"/>
          <w:color w:val="auto"/>
          <w:sz w:val="32"/>
          <w:szCs w:val="32"/>
          <w:highlight w:val="none"/>
          <w:lang w:val="en-US" w:eastAsia="zh-CN"/>
        </w:rPr>
        <w:t>二是项目绩效自评情况。我单位共有9个项目批复了绩效目标。其中：</w:t>
      </w:r>
    </w:p>
    <w:p>
      <w:pPr>
        <w:keepNext w:val="0"/>
        <w:keepLines w:val="0"/>
        <w:pageBreakBefore w:val="0"/>
        <w:widowControl/>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eastAsia="zh-CN"/>
        </w:rPr>
        <w:t>中共许昌市建安</w:t>
      </w:r>
      <w:r>
        <w:rPr>
          <w:rFonts w:hint="eastAsia" w:ascii="仿宋_GB2312" w:hAnsi="仿宋_GB2312" w:eastAsia="仿宋_GB2312" w:cs="仿宋_GB2312"/>
          <w:sz w:val="32"/>
          <w:szCs w:val="32"/>
          <w:highlight w:val="none"/>
        </w:rPr>
        <w:t>区委宣传部</w:t>
      </w:r>
      <w:r>
        <w:rPr>
          <w:rFonts w:hint="eastAsia" w:ascii="仿宋_GB2312" w:hAnsi="仿宋_GB2312" w:eastAsia="仿宋_GB2312" w:cs="仿宋_GB2312"/>
          <w:kern w:val="0"/>
          <w:sz w:val="32"/>
          <w:szCs w:val="32"/>
          <w:highlight w:val="none"/>
          <w:lang w:eastAsia="zh-CN"/>
        </w:rPr>
        <w:t>（本级）</w:t>
      </w:r>
      <w:r>
        <w:rPr>
          <w:rFonts w:hint="eastAsia" w:ascii="仿宋_GB2312" w:hAnsi="仿宋_GB2312" w:eastAsia="仿宋_GB2312" w:cs="仿宋_GB2312"/>
          <w:color w:val="auto"/>
          <w:sz w:val="32"/>
          <w:szCs w:val="32"/>
          <w:highlight w:val="none"/>
          <w:lang w:val="en-US" w:eastAsia="zh-CN"/>
        </w:rPr>
        <w:t>9个。</w:t>
      </w:r>
    </w:p>
    <w:p>
      <w:pPr>
        <w:keepNext w:val="0"/>
        <w:keepLines w:val="0"/>
        <w:pageBreakBefore w:val="0"/>
        <w:widowControl/>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基于项目预期目标的实现程度，对2021年度项目支出绩效进行自评，绩效自评平均得分为95分。其中： 1个项目评价等级为“优”、4个项目评价等级为“良”、4个项目评价等级为“中”。</w:t>
      </w:r>
    </w:p>
    <w:p>
      <w:pPr>
        <w:keepNext w:val="0"/>
        <w:keepLines w:val="0"/>
        <w:pageBreakBefore w:val="0"/>
        <w:widowControl/>
        <w:kinsoku/>
        <w:wordWrap/>
        <w:overflowPunct/>
        <w:topLinePunct w:val="0"/>
        <w:autoSpaceDE/>
        <w:autoSpaceDN/>
        <w:bidi w:val="0"/>
        <w:adjustRightInd/>
        <w:snapToGrid/>
        <w:spacing w:line="360" w:lineRule="auto"/>
        <w:ind w:right="0" w:rightChars="0" w:firstLine="643" w:firstLineChars="200"/>
        <w:jc w:val="both"/>
        <w:textAlignment w:val="auto"/>
        <w:outlineLvl w:val="2"/>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（三）重点绩效评价结果。</w:t>
      </w:r>
    </w:p>
    <w:p>
      <w:pPr>
        <w:widowControl/>
        <w:ind w:firstLine="640" w:firstLineChars="200"/>
        <w:jc w:val="left"/>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我单位选取0个项目开展了部门重点评价，评价得分：/分，等次为“/”。许昌市建安区财政局选取我单位：0个项目开展财政重点评价。</w:t>
      </w:r>
    </w:p>
    <w:p>
      <w:pPr>
        <w:widowControl/>
        <w:ind w:firstLine="640" w:firstLineChars="200"/>
        <w:jc w:val="left"/>
        <w:rPr>
          <w:rFonts w:hint="default" w:ascii="黑体" w:hAnsi="宋体" w:eastAsia="黑体" w:cs="宋体"/>
          <w:kern w:val="0"/>
          <w:sz w:val="28"/>
          <w:szCs w:val="28"/>
          <w:highlight w:val="yellow"/>
          <w:lang w:val="en-US"/>
        </w:rPr>
      </w:pPr>
      <w:r>
        <w:rPr>
          <w:rFonts w:hint="eastAsia" w:ascii="仿宋_GB2312" w:hAnsi="仿宋_GB2312" w:eastAsia="仿宋_GB2312" w:cs="仿宋_GB2312"/>
          <w:color w:val="auto"/>
          <w:sz w:val="32"/>
          <w:szCs w:val="32"/>
          <w:highlight w:val="none"/>
          <w:lang w:val="en-US" w:eastAsia="zh-CN"/>
        </w:rPr>
        <w:t>2021年度我单位没有开展重点绩效评价的项目。</w:t>
      </w:r>
    </w:p>
    <w:p>
      <w:pPr>
        <w:widowControl/>
        <w:jc w:val="left"/>
        <w:rPr>
          <w:rFonts w:hint="eastAsia" w:ascii="黑体" w:hAnsi="宋体" w:eastAsia="黑体" w:cs="宋体"/>
          <w:kern w:val="0"/>
          <w:sz w:val="28"/>
          <w:szCs w:val="28"/>
          <w:highlight w:val="none"/>
        </w:rPr>
      </w:pPr>
    </w:p>
    <w:p>
      <w:pPr>
        <w:widowControl/>
        <w:jc w:val="left"/>
        <w:rPr>
          <w:rFonts w:hint="eastAsia" w:ascii="黑体" w:hAnsi="宋体" w:eastAsia="黑体" w:cs="宋体"/>
          <w:kern w:val="0"/>
          <w:sz w:val="28"/>
          <w:szCs w:val="2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pPr>
      <w:r>
        <w:rPr>
          <w:rFonts w:hint="eastAsia" w:ascii="黑体" w:hAnsi="黑体" w:eastAsia="黑体" w:cs="黑体"/>
          <w:sz w:val="48"/>
          <w:szCs w:val="48"/>
          <w:highlight w:val="none"/>
        </w:rPr>
        <w:t>第四部分  名词解释</w:t>
      </w:r>
    </w:p>
    <w:p>
      <w:pPr>
        <w:jc w:val="center"/>
        <w:rPr>
          <w:rFonts w:hint="eastAsia" w:ascii="黑体" w:hAnsi="黑体" w:eastAsia="黑体" w:cs="黑体"/>
          <w:sz w:val="48"/>
          <w:szCs w:val="48"/>
          <w:highlight w:val="none"/>
        </w:rPr>
      </w:pPr>
    </w:p>
    <w:p>
      <w:pPr>
        <w:jc w:val="center"/>
        <w:outlineLvl w:val="0"/>
        <w:rPr>
          <w:rFonts w:hint="eastAsia" w:ascii="黑体" w:hAnsi="黑体" w:eastAsia="黑体" w:cs="黑体"/>
          <w:sz w:val="48"/>
          <w:szCs w:val="48"/>
          <w:highlight w:val="none"/>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六</w:t>
      </w:r>
      <w:r>
        <w:rPr>
          <w:rFonts w:hint="eastAsia" w:ascii="仿宋_GB2312" w:hAnsi="仿宋_GB2312" w:eastAsia="仿宋_GB2312" w:cs="仿宋_GB2312"/>
          <w:sz w:val="32"/>
          <w:szCs w:val="32"/>
          <w:highlight w:val="none"/>
        </w:rPr>
        <w:t>、工资福利支出：单位支付给在职职工和编制外长期聘用人员的各类劳动报酬，以及为上述人员缴纳的各项社会保险费等。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十、年末结余：本年度或以前年度预算安排，已执行完毕或因客观条件发生变化无法按原预算安排实施，不需要再使用或无法按原预算安排继续使用的资金</w:t>
      </w:r>
      <w:r>
        <w:rPr>
          <w:rFonts w:hint="eastAsia" w:ascii="仿宋_GB2312" w:hAnsi="仿宋_GB2312" w:eastAsia="仿宋_GB2312" w:cs="仿宋_GB2312"/>
          <w:sz w:val="32"/>
          <w:szCs w:val="32"/>
          <w:highlight w:val="none"/>
          <w:lang w:eastAsia="zh-CN"/>
        </w:rPr>
        <w:t>。</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- 7 -</w:t>
                          </w:r>
                          <w:r>
                            <w:rPr>
                              <w:rFonts w:hint="eastAsia"/>
                              <w:sz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JU4/YzAEAAJwDAAAOAAAAAAAAAAEAIAAAAB4BAABkcnMvZTJv&#10;RG9jLnhtbFBLBQYAAAAABgAGAFkBAABc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- 7 -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- 6 -</w:t>
                          </w:r>
                          <w:r>
                            <w:rPr>
                              <w:rFonts w:hint="eastAsia"/>
                              <w:sz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NeFG7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NTJmZmNiYTdkYTgyYzg0YWIyMGM2MzA4ZWY1NTUifQ=="/>
  </w:docVars>
  <w:rsids>
    <w:rsidRoot w:val="00172A27"/>
    <w:rsid w:val="00080C25"/>
    <w:rsid w:val="000E0E88"/>
    <w:rsid w:val="001B3B24"/>
    <w:rsid w:val="00297EA8"/>
    <w:rsid w:val="00343679"/>
    <w:rsid w:val="00344634"/>
    <w:rsid w:val="0039072A"/>
    <w:rsid w:val="00391773"/>
    <w:rsid w:val="00412C29"/>
    <w:rsid w:val="005F4AAA"/>
    <w:rsid w:val="00693F5A"/>
    <w:rsid w:val="006B2C11"/>
    <w:rsid w:val="006B70A6"/>
    <w:rsid w:val="0087296F"/>
    <w:rsid w:val="008F3EB6"/>
    <w:rsid w:val="00906F5C"/>
    <w:rsid w:val="009210B5"/>
    <w:rsid w:val="00A829EE"/>
    <w:rsid w:val="00AD34DE"/>
    <w:rsid w:val="00B17B5D"/>
    <w:rsid w:val="00B36E2C"/>
    <w:rsid w:val="00B447FF"/>
    <w:rsid w:val="00C3156A"/>
    <w:rsid w:val="00C36711"/>
    <w:rsid w:val="00CB5F27"/>
    <w:rsid w:val="00E1414A"/>
    <w:rsid w:val="00E23695"/>
    <w:rsid w:val="00FB0FBB"/>
    <w:rsid w:val="049C1F9F"/>
    <w:rsid w:val="0A812DF2"/>
    <w:rsid w:val="182205B5"/>
    <w:rsid w:val="1CC57D5F"/>
    <w:rsid w:val="290400D2"/>
    <w:rsid w:val="3C3F1507"/>
    <w:rsid w:val="3E6B40B8"/>
    <w:rsid w:val="42004D0A"/>
    <w:rsid w:val="49971226"/>
    <w:rsid w:val="499F6939"/>
    <w:rsid w:val="4ECE5F17"/>
    <w:rsid w:val="56C45D4B"/>
    <w:rsid w:val="58326AFE"/>
    <w:rsid w:val="58377825"/>
    <w:rsid w:val="58ED5D12"/>
    <w:rsid w:val="63704830"/>
    <w:rsid w:val="6B8928BE"/>
    <w:rsid w:val="7B4425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11">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pPr>
      <w:jc w:val="center"/>
    </w:pPr>
    <w:rPr>
      <w:rFonts w:eastAsia="黑体"/>
      <w:sz w:val="36"/>
      <w:szCs w:val="20"/>
    </w:rPr>
  </w:style>
  <w:style w:type="paragraph" w:styleId="5">
    <w:name w:val="Balloon Text"/>
    <w:basedOn w:val="1"/>
    <w:link w:val="15"/>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rPr>
  </w:style>
  <w:style w:type="paragraph" w:styleId="9">
    <w:name w:val="Body Text First Indent"/>
    <w:basedOn w:val="4"/>
    <w:qFormat/>
    <w:uiPriority w:val="99"/>
    <w:pPr>
      <w:ind w:firstLine="420" w:firstLineChars="100"/>
    </w:pPr>
  </w:style>
  <w:style w:type="character" w:styleId="12">
    <w:name w:val="FollowedHyperlink"/>
    <w:qFormat/>
    <w:uiPriority w:val="0"/>
    <w:rPr>
      <w:color w:val="800080"/>
      <w:u w:val="single"/>
    </w:rPr>
  </w:style>
  <w:style w:type="character" w:styleId="13">
    <w:name w:val="Hyperlink"/>
    <w:qFormat/>
    <w:uiPriority w:val="0"/>
    <w:rPr>
      <w:color w:val="0000FF"/>
      <w:u w:val="single"/>
    </w:rPr>
  </w:style>
  <w:style w:type="character" w:styleId="14">
    <w:name w:val="footnote reference"/>
    <w:qFormat/>
    <w:uiPriority w:val="0"/>
    <w:rPr>
      <w:vertAlign w:val="superscript"/>
    </w:rPr>
  </w:style>
  <w:style w:type="character" w:customStyle="1" w:styleId="15">
    <w:name w:val="批注框文本 字符"/>
    <w:link w:val="5"/>
    <w:qFormat/>
    <w:uiPriority w:val="0"/>
    <w:rPr>
      <w:kern w:val="2"/>
      <w:sz w:val="18"/>
      <w:szCs w:val="18"/>
    </w:rPr>
  </w:style>
  <w:style w:type="character" w:customStyle="1" w:styleId="16">
    <w:name w:val="页脚 字符"/>
    <w:link w:val="6"/>
    <w:qFormat/>
    <w:uiPriority w:val="0"/>
    <w:rPr>
      <w:kern w:val="2"/>
      <w:sz w:val="18"/>
      <w:szCs w:val="18"/>
    </w:rPr>
  </w:style>
  <w:style w:type="character" w:customStyle="1" w:styleId="17">
    <w:name w:val="页眉 字符"/>
    <w:link w:val="7"/>
    <w:qFormat/>
    <w:uiPriority w:val="0"/>
    <w:rPr>
      <w:kern w:val="2"/>
      <w:sz w:val="18"/>
      <w:szCs w:val="18"/>
    </w:rPr>
  </w:style>
  <w:style w:type="character" w:customStyle="1" w:styleId="18">
    <w:name w:val="font01"/>
    <w:qFormat/>
    <w:uiPriority w:val="0"/>
    <w:rPr>
      <w:rFonts w:hint="eastAsia" w:ascii="宋体" w:hAnsi="宋体" w:eastAsia="宋体" w:cs="宋体"/>
      <w:color w:val="000000"/>
      <w:sz w:val="22"/>
      <w:szCs w:val="22"/>
      <w:u w:val="none"/>
    </w:rPr>
  </w:style>
  <w:style w:type="character" w:customStyle="1" w:styleId="19">
    <w:name w:val="font51"/>
    <w:qFormat/>
    <w:uiPriority w:val="0"/>
    <w:rPr>
      <w:rFonts w:hint="eastAsia" w:ascii="宋体" w:hAnsi="宋体" w:eastAsia="宋体" w:cs="宋体"/>
      <w:color w:val="000000"/>
      <w:sz w:val="24"/>
      <w:szCs w:val="24"/>
      <w:u w:val="none"/>
    </w:rPr>
  </w:style>
  <w:style w:type="character" w:customStyle="1" w:styleId="20">
    <w:name w:val="font41"/>
    <w:uiPriority w:val="0"/>
    <w:rPr>
      <w:rFonts w:hint="eastAsia" w:ascii="宋体" w:hAnsi="宋体" w:eastAsia="宋体" w:cs="宋体"/>
      <w:color w:val="000000"/>
      <w:sz w:val="24"/>
      <w:szCs w:val="24"/>
      <w:u w:val="none"/>
    </w:rPr>
  </w:style>
  <w:style w:type="character" w:customStyle="1" w:styleId="21">
    <w:name w:val="font11"/>
    <w:qFormat/>
    <w:uiPriority w:val="0"/>
    <w:rPr>
      <w:rFonts w:hint="eastAsia" w:ascii="宋体" w:hAnsi="宋体" w:eastAsia="宋体" w:cs="宋体"/>
      <w:color w:val="000000"/>
      <w:sz w:val="20"/>
      <w:szCs w:val="20"/>
      <w:u w:val="none"/>
    </w:rPr>
  </w:style>
  <w:style w:type="character" w:customStyle="1" w:styleId="22">
    <w:name w:val="font21"/>
    <w:qFormat/>
    <w:uiPriority w:val="0"/>
    <w:rPr>
      <w:rFonts w:hint="eastAsia" w:ascii="宋体" w:hAnsi="宋体" w:eastAsia="宋体" w:cs="宋体"/>
      <w:color w:val="000000"/>
      <w:sz w:val="22"/>
      <w:szCs w:val="22"/>
      <w:u w:val="none"/>
    </w:rPr>
  </w:style>
  <w:style w:type="paragraph" w:customStyle="1" w:styleId="23">
    <w:name w:val="标题1"/>
    <w:basedOn w:val="2"/>
    <w:qFormat/>
    <w:uiPriority w:val="0"/>
    <w:pPr>
      <w:spacing w:before="0" w:beforeLines="0" w:after="0" w:afterLines="0" w:line="240" w:lineRule="auto"/>
      <w:jc w:val="center"/>
    </w:pPr>
    <w:rPr>
      <w:rFonts w:ascii="华文中宋" w:hAnsi="华文中宋" w:eastAsia="华文中宋"/>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 User</Company>
  <Pages>32</Pages>
  <Words>8226</Words>
  <Characters>9679</Characters>
  <Lines>97</Lines>
  <Paragraphs>27</Paragraphs>
  <TotalTime>20</TotalTime>
  <ScaleCrop>false</ScaleCrop>
  <LinksUpToDate>false</LinksUpToDate>
  <CharactersWithSpaces>9881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2007-11-28T19:41:00Z</dcterms:created>
  <dc:creator>管理者</dc:creator>
  <cp:lastModifiedBy>Administrator</cp:lastModifiedBy>
  <cp:lastPrinted>2018-07-24T10:50:00Z</cp:lastPrinted>
  <dcterms:modified xsi:type="dcterms:W3CDTF">2022-09-06T08:47:50Z</dcterms:modified>
  <dc:title>2020年度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8AD503EB85E54F0EBB238BAC31399672</vt:lpwstr>
  </property>
</Properties>
</file>