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jc w:val="center"/>
        <w:rPr>
          <w:rFonts w:hint="eastAsia" w:ascii="黑体" w:hAnsi="黑体" w:eastAsia="黑体" w:cs="黑体"/>
          <w:sz w:val="52"/>
          <w:szCs w:val="52"/>
          <w:highlight w:val="none"/>
        </w:rPr>
      </w:pPr>
      <w:r>
        <w:rPr>
          <w:rFonts w:hint="eastAsia" w:ascii="黑体" w:hAnsi="黑体" w:eastAsia="黑体" w:cs="黑体"/>
          <w:sz w:val="52"/>
          <w:szCs w:val="52"/>
          <w:highlight w:val="none"/>
        </w:rPr>
        <w:t>20</w:t>
      </w:r>
      <w:r>
        <w:rPr>
          <w:rFonts w:ascii="黑体" w:hAnsi="黑体" w:eastAsia="黑体" w:cs="黑体"/>
          <w:sz w:val="52"/>
          <w:szCs w:val="52"/>
          <w:highlight w:val="none"/>
        </w:rPr>
        <w:t>21</w:t>
      </w:r>
      <w:r>
        <w:rPr>
          <w:rFonts w:hint="eastAsia" w:ascii="黑体" w:hAnsi="黑体" w:eastAsia="黑体" w:cs="黑体"/>
          <w:sz w:val="52"/>
          <w:szCs w:val="52"/>
          <w:highlight w:val="none"/>
        </w:rPr>
        <w:t>年度</w:t>
      </w:r>
    </w:p>
    <w:p>
      <w:pPr>
        <w:jc w:val="center"/>
        <w:rPr>
          <w:rFonts w:hint="eastAsia" w:ascii="黑体" w:hAnsi="黑体" w:eastAsia="黑体" w:cs="黑体"/>
          <w:sz w:val="52"/>
          <w:szCs w:val="52"/>
          <w:highlight w:val="none"/>
        </w:rPr>
      </w:pPr>
      <w:r>
        <w:rPr>
          <w:rFonts w:hint="eastAsia" w:ascii="黑体" w:hAnsi="黑体" w:eastAsia="黑体" w:cs="黑体"/>
          <w:sz w:val="52"/>
          <w:szCs w:val="52"/>
          <w:highlight w:val="none"/>
        </w:rPr>
        <w:t>中共许昌市建安区委宣传部部门决算</w:t>
      </w:r>
    </w:p>
    <w:p>
      <w:pPr>
        <w:jc w:val="center"/>
        <w:rPr>
          <w:rFonts w:ascii="黑体" w:hAnsi="黑体" w:eastAsia="黑体" w:cs="黑体"/>
          <w:sz w:val="52"/>
          <w:szCs w:val="52"/>
          <w:highlight w:val="none"/>
        </w:rPr>
      </w:pPr>
    </w:p>
    <w:p>
      <w:pPr>
        <w:jc w:val="center"/>
        <w:rPr>
          <w:rFonts w:hint="eastAsia" w:ascii="黑体" w:hAnsi="黑体" w:eastAsia="黑体" w:cs="黑体"/>
          <w:sz w:val="52"/>
          <w:szCs w:val="52"/>
          <w:highlight w:val="none"/>
        </w:rPr>
      </w:pPr>
    </w:p>
    <w:p>
      <w:pPr>
        <w:jc w:val="center"/>
        <w:rPr>
          <w:rFonts w:hint="eastAsia" w:ascii="黑体" w:hAnsi="黑体" w:eastAsia="黑体" w:cs="黑体"/>
          <w:sz w:val="52"/>
          <w:szCs w:val="52"/>
          <w:highlight w:val="none"/>
        </w:rPr>
      </w:pPr>
    </w:p>
    <w:p>
      <w:pPr>
        <w:jc w:val="center"/>
        <w:rPr>
          <w:rFonts w:hint="eastAsia" w:ascii="黑体" w:hAnsi="黑体" w:eastAsia="黑体" w:cs="黑体"/>
          <w:sz w:val="52"/>
          <w:szCs w:val="52"/>
          <w:highlight w:val="none"/>
        </w:rPr>
      </w:pPr>
    </w:p>
    <w:p>
      <w:pPr>
        <w:jc w:val="center"/>
        <w:rPr>
          <w:rFonts w:hint="eastAsia" w:ascii="黑体" w:hAnsi="黑体" w:eastAsia="黑体" w:cs="黑体"/>
          <w:sz w:val="52"/>
          <w:szCs w:val="52"/>
          <w:highlight w:val="none"/>
        </w:rPr>
      </w:pPr>
    </w:p>
    <w:p>
      <w:pPr>
        <w:jc w:val="center"/>
        <w:rPr>
          <w:rFonts w:hint="eastAsia" w:ascii="黑体" w:hAnsi="黑体" w:eastAsia="黑体" w:cs="黑体"/>
          <w:sz w:val="52"/>
          <w:szCs w:val="52"/>
          <w:highlight w:val="none"/>
        </w:rPr>
      </w:pPr>
    </w:p>
    <w:p>
      <w:pPr>
        <w:jc w:val="center"/>
        <w:rPr>
          <w:rFonts w:hint="eastAsia" w:ascii="黑体" w:hAnsi="黑体" w:eastAsia="黑体" w:cs="黑体"/>
          <w:sz w:val="32"/>
          <w:szCs w:val="32"/>
          <w:highlight w:val="none"/>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highlight w:val="none"/>
        </w:rPr>
        <w:t>二〇二二年</w:t>
      </w:r>
      <w:r>
        <w:rPr>
          <w:rFonts w:hint="eastAsia" w:ascii="黑体" w:hAnsi="黑体" w:eastAsia="黑体" w:cs="黑体"/>
          <w:sz w:val="32"/>
          <w:szCs w:val="32"/>
          <w:highlight w:val="none"/>
          <w:lang w:eastAsia="zh-CN"/>
        </w:rPr>
        <w:t>九</w:t>
      </w:r>
      <w:r>
        <w:rPr>
          <w:rFonts w:hint="eastAsia" w:ascii="黑体" w:hAnsi="黑体" w:eastAsia="黑体" w:cs="黑体"/>
          <w:sz w:val="32"/>
          <w:szCs w:val="32"/>
          <w:highlight w:val="none"/>
        </w:rPr>
        <w:t>月</w:t>
      </w:r>
    </w:p>
    <w:p>
      <w:pPr>
        <w:jc w:val="center"/>
        <w:rPr>
          <w:rFonts w:ascii="黑体" w:hAnsi="黑体" w:eastAsia="黑体" w:cs="黑体"/>
          <w:sz w:val="36"/>
          <w:szCs w:val="36"/>
          <w:highlight w:val="none"/>
        </w:rPr>
      </w:pPr>
      <w:r>
        <w:rPr>
          <w:rFonts w:hint="eastAsia" w:ascii="黑体" w:hAnsi="黑体" w:eastAsia="黑体" w:cs="黑体"/>
          <w:sz w:val="36"/>
          <w:szCs w:val="36"/>
          <w:highlight w:val="none"/>
        </w:rPr>
        <w:t>目　　录</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第一部分　中共许昌市建安区委宣传部概况</w:t>
      </w:r>
    </w:p>
    <w:p>
      <w:pPr>
        <w:numPr>
          <w:ilvl w:val="0"/>
          <w:numId w:val="1"/>
        </w:numPr>
        <w:ind w:firstLine="640" w:firstLineChars="200"/>
        <w:jc w:val="left"/>
        <w:rPr>
          <w:rFonts w:ascii="宋体" w:hAnsi="宋体" w:cs="宋体"/>
          <w:sz w:val="32"/>
          <w:szCs w:val="32"/>
          <w:highlight w:val="none"/>
        </w:rPr>
      </w:pPr>
      <w:r>
        <w:rPr>
          <w:rFonts w:hint="eastAsia" w:ascii="宋体" w:hAnsi="宋体" w:cs="宋体"/>
          <w:sz w:val="32"/>
          <w:szCs w:val="32"/>
          <w:highlight w:val="none"/>
        </w:rPr>
        <w:t>部门职责</w:t>
      </w:r>
    </w:p>
    <w:p>
      <w:pPr>
        <w:numPr>
          <w:ilvl w:val="0"/>
          <w:numId w:val="1"/>
        </w:numPr>
        <w:ind w:firstLine="640" w:firstLineChars="200"/>
        <w:jc w:val="left"/>
        <w:rPr>
          <w:rFonts w:ascii="宋体" w:hAnsi="宋体" w:cs="宋体"/>
          <w:sz w:val="32"/>
          <w:szCs w:val="32"/>
          <w:highlight w:val="none"/>
        </w:rPr>
      </w:pPr>
      <w:r>
        <w:rPr>
          <w:rFonts w:hint="eastAsia" w:ascii="宋体" w:hAnsi="宋体" w:cs="宋体"/>
          <w:sz w:val="32"/>
          <w:szCs w:val="32"/>
          <w:highlight w:val="none"/>
        </w:rPr>
        <w:t>机构设置</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  2021年度部门决算表</w:t>
      </w:r>
    </w:p>
    <w:p>
      <w:pPr>
        <w:ind w:firstLine="640" w:firstLineChars="200"/>
        <w:jc w:val="left"/>
        <w:rPr>
          <w:rFonts w:hint="eastAsia" w:ascii="宋体" w:hAnsi="宋体" w:cs="黑体"/>
          <w:sz w:val="32"/>
          <w:szCs w:val="32"/>
          <w:highlight w:val="none"/>
        </w:rPr>
      </w:pPr>
      <w:r>
        <w:rPr>
          <w:rFonts w:hint="eastAsia" w:ascii="宋体" w:hAnsi="宋体" w:cs="黑体"/>
          <w:sz w:val="32"/>
          <w:szCs w:val="32"/>
          <w:highlight w:val="none"/>
        </w:rPr>
        <w:t>一、收入支出决算总表</w:t>
      </w:r>
    </w:p>
    <w:p>
      <w:pPr>
        <w:ind w:firstLine="640" w:firstLineChars="200"/>
        <w:jc w:val="left"/>
        <w:rPr>
          <w:rFonts w:hint="eastAsia" w:ascii="宋体" w:hAnsi="宋体" w:cs="黑体"/>
          <w:sz w:val="32"/>
          <w:szCs w:val="32"/>
          <w:highlight w:val="none"/>
        </w:rPr>
      </w:pPr>
      <w:r>
        <w:rPr>
          <w:rFonts w:hint="eastAsia" w:ascii="宋体" w:hAnsi="宋体" w:cs="黑体"/>
          <w:sz w:val="32"/>
          <w:szCs w:val="32"/>
          <w:highlight w:val="none"/>
        </w:rPr>
        <w:t>二、收入决算表</w:t>
      </w:r>
    </w:p>
    <w:p>
      <w:pPr>
        <w:ind w:firstLine="640" w:firstLineChars="200"/>
        <w:jc w:val="left"/>
        <w:rPr>
          <w:rFonts w:hint="eastAsia" w:ascii="宋体" w:hAnsi="宋体" w:cs="黑体"/>
          <w:sz w:val="32"/>
          <w:szCs w:val="32"/>
          <w:highlight w:val="none"/>
        </w:rPr>
      </w:pPr>
      <w:r>
        <w:rPr>
          <w:rFonts w:hint="eastAsia" w:ascii="宋体" w:hAnsi="宋体" w:cs="黑体"/>
          <w:sz w:val="32"/>
          <w:szCs w:val="32"/>
          <w:highlight w:val="none"/>
        </w:rPr>
        <w:t>三、支出决算表</w:t>
      </w:r>
    </w:p>
    <w:p>
      <w:pPr>
        <w:ind w:firstLine="640" w:firstLineChars="200"/>
        <w:jc w:val="left"/>
        <w:rPr>
          <w:rFonts w:ascii="宋体" w:hAnsi="宋体" w:cs="黑体"/>
          <w:sz w:val="32"/>
          <w:szCs w:val="32"/>
          <w:highlight w:val="none"/>
        </w:rPr>
      </w:pPr>
      <w:r>
        <w:rPr>
          <w:rFonts w:hint="eastAsia" w:ascii="宋体" w:hAnsi="宋体" w:cs="黑体"/>
          <w:sz w:val="32"/>
          <w:szCs w:val="32"/>
          <w:highlight w:val="none"/>
        </w:rPr>
        <w:t>四、财政拨款收入支出决算总表</w:t>
      </w:r>
    </w:p>
    <w:p>
      <w:pPr>
        <w:ind w:firstLine="640" w:firstLineChars="200"/>
        <w:jc w:val="left"/>
        <w:rPr>
          <w:rFonts w:hint="eastAsia" w:ascii="宋体" w:hAnsi="宋体" w:cs="黑体"/>
          <w:sz w:val="32"/>
          <w:szCs w:val="32"/>
          <w:highlight w:val="none"/>
        </w:rPr>
      </w:pPr>
      <w:r>
        <w:rPr>
          <w:rFonts w:hint="eastAsia" w:ascii="宋体" w:hAnsi="宋体" w:cs="黑体"/>
          <w:sz w:val="32"/>
          <w:szCs w:val="32"/>
          <w:highlight w:val="none"/>
        </w:rPr>
        <w:t>五、一般公共预算财政拨款支出决算表</w:t>
      </w:r>
    </w:p>
    <w:p>
      <w:pPr>
        <w:ind w:firstLine="640" w:firstLineChars="200"/>
        <w:jc w:val="left"/>
        <w:rPr>
          <w:rFonts w:ascii="宋体" w:hAnsi="宋体" w:cs="黑体"/>
          <w:sz w:val="32"/>
          <w:szCs w:val="32"/>
          <w:highlight w:val="none"/>
        </w:rPr>
      </w:pPr>
      <w:r>
        <w:rPr>
          <w:rFonts w:hint="eastAsia" w:ascii="宋体" w:hAnsi="宋体" w:cs="黑体"/>
          <w:sz w:val="32"/>
          <w:szCs w:val="32"/>
          <w:highlight w:val="none"/>
        </w:rPr>
        <w:t>六、一般公共预算财政拨款基本支出决算明细表</w:t>
      </w:r>
    </w:p>
    <w:p>
      <w:pPr>
        <w:ind w:firstLine="640" w:firstLineChars="200"/>
        <w:jc w:val="left"/>
        <w:rPr>
          <w:rFonts w:hint="eastAsia" w:ascii="宋体" w:hAnsi="宋体" w:cs="黑体"/>
          <w:sz w:val="32"/>
          <w:szCs w:val="32"/>
          <w:highlight w:val="none"/>
        </w:rPr>
      </w:pPr>
      <w:r>
        <w:rPr>
          <w:rFonts w:hint="eastAsia" w:ascii="宋体" w:hAnsi="宋体" w:cs="黑体"/>
          <w:sz w:val="32"/>
          <w:szCs w:val="32"/>
          <w:highlight w:val="none"/>
        </w:rPr>
        <w:t>七、一般公共预算财政拨款“三公”经费支出决算表</w:t>
      </w:r>
    </w:p>
    <w:p>
      <w:pPr>
        <w:ind w:firstLine="640" w:firstLineChars="200"/>
        <w:jc w:val="left"/>
        <w:rPr>
          <w:rFonts w:hint="eastAsia" w:ascii="宋体" w:hAnsi="宋体" w:cs="黑体"/>
          <w:sz w:val="32"/>
          <w:szCs w:val="32"/>
          <w:highlight w:val="none"/>
        </w:rPr>
      </w:pPr>
      <w:r>
        <w:rPr>
          <w:rFonts w:hint="eastAsia" w:ascii="宋体" w:hAnsi="宋体" w:cs="黑体"/>
          <w:sz w:val="32"/>
          <w:szCs w:val="32"/>
          <w:highlight w:val="none"/>
        </w:rPr>
        <w:t>八、政府性基金预算财政拨款收入支出决算表</w:t>
      </w:r>
    </w:p>
    <w:p>
      <w:p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第三部分　</w:t>
      </w:r>
      <w:r>
        <w:rPr>
          <w:rFonts w:ascii="黑体" w:hAnsi="黑体" w:eastAsia="黑体" w:cs="黑体"/>
          <w:sz w:val="32"/>
          <w:szCs w:val="32"/>
          <w:highlight w:val="none"/>
        </w:rPr>
        <w:t>2021</w:t>
      </w:r>
      <w:r>
        <w:rPr>
          <w:rFonts w:hint="eastAsia" w:ascii="黑体" w:hAnsi="黑体" w:eastAsia="黑体" w:cs="黑体"/>
          <w:sz w:val="32"/>
          <w:szCs w:val="32"/>
          <w:highlight w:val="none"/>
        </w:rPr>
        <w:t>年度</w:t>
      </w:r>
      <w:r>
        <w:rPr>
          <w:rFonts w:ascii="黑体" w:hAnsi="黑体" w:eastAsia="黑体" w:cs="黑体"/>
          <w:sz w:val="32"/>
          <w:szCs w:val="32"/>
          <w:highlight w:val="none"/>
        </w:rPr>
        <w:t>部门</w:t>
      </w:r>
      <w:r>
        <w:rPr>
          <w:rFonts w:hint="eastAsia" w:ascii="黑体" w:hAnsi="黑体" w:eastAsia="黑体" w:cs="黑体"/>
          <w:sz w:val="32"/>
          <w:szCs w:val="32"/>
          <w:highlight w:val="none"/>
        </w:rPr>
        <w:t>决算情况说明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一、收入支出决算总体情况说明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二、收入决算情况说明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三、支出决算情况说明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四、财政拨款收入支出决算总体情况说明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五、一般公共预算财政拨款支出决算情况说明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六、一般公共预算财政拨款基本支出决算情况说明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七、一般公共预算财政拨款“三公”经费支出决算情况说明</w:t>
      </w:r>
    </w:p>
    <w:p>
      <w:pPr>
        <w:ind w:firstLine="640" w:firstLineChars="200"/>
        <w:jc w:val="left"/>
        <w:rPr>
          <w:rFonts w:ascii="宋体" w:hAnsi="宋体" w:cs="宋体"/>
          <w:sz w:val="32"/>
          <w:szCs w:val="32"/>
          <w:highlight w:val="none"/>
        </w:rPr>
      </w:pPr>
      <w:r>
        <w:rPr>
          <w:rFonts w:hint="eastAsia" w:ascii="宋体" w:hAnsi="宋体" w:cs="宋体"/>
          <w:sz w:val="32"/>
          <w:szCs w:val="32"/>
          <w:highlight w:val="none"/>
        </w:rPr>
        <w:t>八、政府性基金预算财政拨款支出决算情况说明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九、机关运行经费支出情况说明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十、政府采购支出情况说明</w:t>
      </w:r>
    </w:p>
    <w:p>
      <w:pPr>
        <w:ind w:firstLine="640" w:firstLineChars="200"/>
        <w:jc w:val="left"/>
        <w:rPr>
          <w:rFonts w:ascii="宋体" w:hAnsi="宋体" w:cs="宋体"/>
          <w:sz w:val="32"/>
          <w:szCs w:val="32"/>
          <w:highlight w:val="none"/>
        </w:rPr>
      </w:pPr>
      <w:r>
        <w:rPr>
          <w:rFonts w:hint="eastAsia" w:ascii="宋体" w:hAnsi="宋体" w:cs="宋体"/>
          <w:sz w:val="32"/>
          <w:szCs w:val="32"/>
          <w:highlight w:val="none"/>
        </w:rPr>
        <w:t>十一、国有资产占用情况说明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十二、预算绩效情况说明</w:t>
      </w:r>
    </w:p>
    <w:p>
      <w:p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both"/>
        <w:outlineLvl w:val="0"/>
        <w:rPr>
          <w:rFonts w:hint="eastAsia" w:ascii="黑体" w:hAnsi="黑体" w:eastAsia="黑体" w:cs="黑体"/>
          <w:sz w:val="48"/>
          <w:szCs w:val="48"/>
          <w:highlight w:val="none"/>
        </w:rPr>
      </w:pPr>
    </w:p>
    <w:p>
      <w:pPr>
        <w:widowControl/>
        <w:jc w:val="center"/>
        <w:outlineLvl w:val="0"/>
        <w:rPr>
          <w:rFonts w:hint="eastAsia" w:ascii="黑体" w:hAnsi="黑体" w:eastAsia="黑体" w:cs="黑体"/>
          <w:sz w:val="48"/>
          <w:szCs w:val="48"/>
          <w:highlight w:val="none"/>
        </w:rPr>
      </w:pPr>
    </w:p>
    <w:p>
      <w:pPr>
        <w:widowControl/>
        <w:jc w:val="center"/>
        <w:outlineLvl w:val="0"/>
        <w:rPr>
          <w:rFonts w:hint="eastAsia" w:ascii="黑体" w:hAnsi="黑体" w:eastAsia="黑体" w:cs="黑体"/>
          <w:sz w:val="48"/>
          <w:szCs w:val="48"/>
          <w:highlight w:val="none"/>
        </w:rPr>
      </w:pPr>
    </w:p>
    <w:p>
      <w:pPr>
        <w:widowControl/>
        <w:jc w:val="center"/>
        <w:outlineLvl w:val="0"/>
        <w:rPr>
          <w:rFonts w:hint="eastAsia" w:ascii="黑体" w:hAnsi="黑体" w:eastAsia="黑体" w:cs="黑体"/>
          <w:sz w:val="48"/>
          <w:szCs w:val="48"/>
          <w:highlight w:val="none"/>
        </w:rPr>
      </w:pPr>
    </w:p>
    <w:p>
      <w:pPr>
        <w:widowControl/>
        <w:jc w:val="center"/>
        <w:outlineLvl w:val="0"/>
        <w:rPr>
          <w:rFonts w:hint="eastAsia" w:ascii="黑体" w:hAnsi="黑体" w:eastAsia="黑体" w:cs="黑体"/>
          <w:sz w:val="48"/>
          <w:szCs w:val="48"/>
          <w:highlight w:val="none"/>
        </w:rPr>
      </w:pPr>
    </w:p>
    <w:p>
      <w:pPr>
        <w:widowControl/>
        <w:jc w:val="center"/>
        <w:outlineLvl w:val="0"/>
        <w:rPr>
          <w:rFonts w:hint="eastAsia" w:ascii="黑体" w:hAnsi="黑体" w:eastAsia="黑体" w:cs="黑体"/>
          <w:sz w:val="48"/>
          <w:szCs w:val="48"/>
          <w:highlight w:val="none"/>
        </w:rPr>
      </w:pPr>
    </w:p>
    <w:p>
      <w:pPr>
        <w:widowControl/>
        <w:jc w:val="center"/>
        <w:outlineLvl w:val="0"/>
        <w:rPr>
          <w:rFonts w:hint="eastAsia" w:ascii="黑体" w:hAnsi="宋体" w:eastAsia="黑体" w:cs="宋体"/>
          <w:kern w:val="0"/>
          <w:sz w:val="28"/>
          <w:szCs w:val="28"/>
          <w:highlight w:val="none"/>
        </w:rPr>
      </w:pPr>
      <w:r>
        <w:rPr>
          <w:rFonts w:hint="eastAsia" w:ascii="黑体" w:hAnsi="黑体" w:eastAsia="黑体" w:cs="黑体"/>
          <w:sz w:val="48"/>
          <w:szCs w:val="48"/>
          <w:highlight w:val="none"/>
        </w:rPr>
        <w:t>第一部分  中共许昌市建安区委宣传部概况</w:t>
      </w: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一、部门</w:t>
      </w:r>
      <w:r>
        <w:rPr>
          <w:rFonts w:hint="eastAsia" w:ascii="黑体" w:hAnsi="黑体" w:eastAsia="黑体" w:cs="黑体"/>
          <w:bCs/>
          <w:sz w:val="32"/>
          <w:szCs w:val="32"/>
          <w:highlight w:val="none"/>
        </w:rPr>
        <w:t>职责</w:t>
      </w:r>
    </w:p>
    <w:p>
      <w:pPr>
        <w:ind w:firstLine="640" w:firstLineChars="200"/>
        <w:rPr>
          <w:rFonts w:ascii="仿宋_GB2312" w:hAnsi="仿宋_GB2312" w:eastAsia="仿宋_GB2312" w:cs="仿宋_GB2312"/>
          <w:kern w:val="0"/>
          <w:sz w:val="32"/>
          <w:szCs w:val="32"/>
          <w:highlight w:val="none"/>
        </w:rPr>
      </w:pPr>
      <w:r>
        <w:rPr>
          <w:rFonts w:ascii="仿宋_GB2312" w:hAnsi="仿宋_GB2312" w:eastAsia="仿宋_GB2312" w:cs="仿宋_GB2312"/>
          <w:kern w:val="0"/>
          <w:sz w:val="32"/>
          <w:szCs w:val="32"/>
          <w:highlight w:val="none"/>
        </w:rPr>
        <w:t>（一）贯彻落实党中央关于宣传思想文化、网络安全和信息化工作的方针政策和省委、市委、区委决策部署，拟订全区宣传思想文化事业发展规划，统筹协调推进宣传思想文化领域法治建设，按照区委统一部署，协调宣传思想文化系统各部门之间的工作。</w:t>
      </w:r>
    </w:p>
    <w:p>
      <w:pPr>
        <w:ind w:firstLine="640" w:firstLineChars="200"/>
        <w:rPr>
          <w:rFonts w:ascii="仿宋_GB2312" w:hAnsi="仿宋_GB2312" w:eastAsia="仿宋_GB2312" w:cs="仿宋_GB2312"/>
          <w:kern w:val="0"/>
          <w:sz w:val="32"/>
          <w:szCs w:val="32"/>
          <w:highlight w:val="none"/>
        </w:rPr>
      </w:pPr>
      <w:r>
        <w:rPr>
          <w:rFonts w:ascii="仿宋_GB2312" w:hAnsi="仿宋_GB2312" w:eastAsia="仿宋_GB2312" w:cs="仿宋_GB2312"/>
          <w:kern w:val="0"/>
          <w:sz w:val="32"/>
          <w:szCs w:val="32"/>
          <w:highlight w:val="none"/>
        </w:rPr>
        <w:t>（二）贯彻落实党中央、省委、市委、区委关于意识形态工作的决策部署，统筹协调全区党的意识形态工作，组织协调意识形态工作责任制落实和日常监督检查，结合巡视巡察工作开展专项检查。</w:t>
      </w:r>
    </w:p>
    <w:p>
      <w:pPr>
        <w:ind w:firstLine="640" w:firstLineChars="200"/>
        <w:rPr>
          <w:rFonts w:ascii="仿宋_GB2312" w:hAnsi="仿宋_GB2312" w:eastAsia="仿宋_GB2312" w:cs="仿宋_GB2312"/>
          <w:kern w:val="0"/>
          <w:sz w:val="32"/>
          <w:szCs w:val="32"/>
          <w:highlight w:val="none"/>
        </w:rPr>
      </w:pPr>
      <w:r>
        <w:rPr>
          <w:rFonts w:ascii="仿宋_GB2312" w:hAnsi="仿宋_GB2312" w:eastAsia="仿宋_GB2312" w:cs="仿宋_GB2312"/>
          <w:kern w:val="0"/>
          <w:sz w:val="32"/>
          <w:szCs w:val="32"/>
          <w:highlight w:val="none"/>
        </w:rPr>
        <w:t>（三）统筹指导协调全区的理论研究、理论学习和理论宣传工作，组织推动理论武装工作。</w:t>
      </w:r>
    </w:p>
    <w:p>
      <w:pPr>
        <w:ind w:firstLine="640" w:firstLineChars="200"/>
        <w:rPr>
          <w:rFonts w:ascii="仿宋_GB2312" w:hAnsi="仿宋_GB2312" w:eastAsia="仿宋_GB2312" w:cs="仿宋_GB2312"/>
          <w:kern w:val="0"/>
          <w:sz w:val="32"/>
          <w:szCs w:val="32"/>
          <w:highlight w:val="none"/>
        </w:rPr>
      </w:pPr>
      <w:r>
        <w:rPr>
          <w:rFonts w:ascii="仿宋_GB2312" w:hAnsi="仿宋_GB2312" w:eastAsia="仿宋_GB2312" w:cs="仿宋_GB2312"/>
          <w:kern w:val="0"/>
          <w:sz w:val="32"/>
          <w:szCs w:val="32"/>
          <w:highlight w:val="none"/>
        </w:rPr>
        <w:t>（四）负责规划组织全区思想政治工作，组织全区重大先进典型的选树、宣传、学习，配合区委组织部做好党员教育工作，指导协调编写党员教育教材，会同有关部门研究和改进群众思想教育工作，负责组织开展宣传思想文化系统人才工作和干部教育培训。</w:t>
      </w:r>
    </w:p>
    <w:p>
      <w:pPr>
        <w:ind w:firstLine="640" w:firstLineChars="200"/>
        <w:rPr>
          <w:rFonts w:ascii="仿宋_GB2312" w:hAnsi="仿宋_GB2312" w:eastAsia="仿宋_GB2312" w:cs="仿宋_GB2312"/>
          <w:kern w:val="0"/>
          <w:sz w:val="32"/>
          <w:szCs w:val="32"/>
          <w:highlight w:val="none"/>
        </w:rPr>
      </w:pPr>
      <w:r>
        <w:rPr>
          <w:rFonts w:ascii="仿宋_GB2312" w:hAnsi="仿宋_GB2312" w:eastAsia="仿宋_GB2312" w:cs="仿宋_GB2312"/>
          <w:kern w:val="0"/>
          <w:sz w:val="32"/>
          <w:szCs w:val="32"/>
          <w:highlight w:val="none"/>
        </w:rPr>
        <w:t>（五）统筹分析研判和引导社会舆论，统筹指导协调监督管理全区新闻单位工作，组织全区突发公共事件应急新闻工作。</w:t>
      </w:r>
    </w:p>
    <w:p>
      <w:pPr>
        <w:ind w:firstLine="640" w:firstLineChars="200"/>
        <w:jc w:val="right"/>
        <w:rPr>
          <w:rFonts w:hint="eastAsia" w:ascii="仿宋_GB2312" w:hAnsi="仿宋_GB2312" w:eastAsia="仿宋_GB2312" w:cs="仿宋_GB2312"/>
          <w:kern w:val="0"/>
          <w:sz w:val="32"/>
          <w:szCs w:val="32"/>
          <w:highlight w:val="none"/>
          <w:lang w:eastAsia="zh-CN"/>
        </w:rPr>
      </w:pPr>
      <w:r>
        <w:rPr>
          <w:rFonts w:ascii="仿宋_GB2312" w:hAnsi="仿宋_GB2312" w:eastAsia="仿宋_GB2312" w:cs="仿宋_GB2312"/>
          <w:kern w:val="0"/>
          <w:sz w:val="32"/>
          <w:szCs w:val="32"/>
          <w:highlight w:val="none"/>
        </w:rPr>
        <w:t>（六）拟订全区新闻出版业的规范性文件并督促落实，管理新闻出版行政事务，组织协调有关行政审批工作。统筹规划和指导协调新闻出版事业、产业发展，监督管理出版物内容和质量，监督管理印刷业，管理著作权，管理出版物进出口等。负责全区新闻记者证的监督管理。组织指导协调</w:t>
      </w:r>
      <w:r>
        <w:rPr>
          <w:rFonts w:hint="eastAsia" w:ascii="仿宋_GB2312" w:hAnsi="仿宋_GB2312" w:eastAsia="仿宋_GB2312" w:cs="仿宋_GB2312"/>
          <w:kern w:val="0"/>
          <w:sz w:val="32"/>
          <w:szCs w:val="32"/>
          <w:highlight w:val="none"/>
          <w:lang w:eastAsia="zh-CN"/>
        </w:rPr>
        <w:t>。</w:t>
      </w:r>
    </w:p>
    <w:p>
      <w:pPr>
        <w:ind w:firstLine="640" w:firstLineChars="200"/>
        <w:rPr>
          <w:rFonts w:ascii="仿宋_GB2312" w:hAnsi="仿宋_GB2312" w:eastAsia="仿宋_GB2312" w:cs="仿宋_GB2312"/>
          <w:kern w:val="0"/>
          <w:sz w:val="32"/>
          <w:szCs w:val="32"/>
          <w:highlight w:val="none"/>
        </w:rPr>
      </w:pPr>
      <w:r>
        <w:rPr>
          <w:rFonts w:ascii="仿宋_GB2312" w:hAnsi="仿宋_GB2312" w:eastAsia="仿宋_GB2312" w:cs="仿宋_GB2312"/>
          <w:kern w:val="0"/>
          <w:sz w:val="32"/>
          <w:szCs w:val="32"/>
          <w:highlight w:val="none"/>
        </w:rPr>
        <w:t>（七）统筹指导协调互联网宣传和信息内容管理工作。统筹协调融媒体的建设与管理。</w:t>
      </w:r>
    </w:p>
    <w:p>
      <w:pPr>
        <w:rPr>
          <w:rFonts w:ascii="仿宋_GB2312" w:hAnsi="仿宋_GB2312" w:eastAsia="仿宋_GB2312" w:cs="仿宋_GB2312"/>
          <w:kern w:val="0"/>
          <w:sz w:val="32"/>
          <w:szCs w:val="32"/>
          <w:highlight w:val="none"/>
        </w:rPr>
      </w:pPr>
      <w:r>
        <w:rPr>
          <w:rFonts w:ascii="仿宋_GB2312" w:hAnsi="仿宋_GB2312" w:eastAsia="仿宋_GB2312" w:cs="仿宋_GB2312"/>
          <w:kern w:val="0"/>
          <w:sz w:val="32"/>
          <w:szCs w:val="32"/>
          <w:highlight w:val="none"/>
        </w:rPr>
        <w:t xml:space="preserve">    （八）统筹指导协调推动精神文化产品的创作和生产，协调组织优秀传统文化传承发展有关工作，指导协调推动群众文化建设。</w:t>
      </w:r>
    </w:p>
    <w:p>
      <w:pPr>
        <w:ind w:firstLine="636"/>
        <w:rPr>
          <w:rFonts w:ascii="仿宋_GB2312" w:hAnsi="仿宋_GB2312" w:eastAsia="仿宋_GB2312" w:cs="仿宋_GB2312"/>
          <w:kern w:val="0"/>
          <w:sz w:val="32"/>
          <w:szCs w:val="32"/>
          <w:highlight w:val="none"/>
        </w:rPr>
      </w:pPr>
      <w:r>
        <w:rPr>
          <w:rFonts w:ascii="仿宋_GB2312" w:hAnsi="仿宋_GB2312" w:eastAsia="仿宋_GB2312" w:cs="仿宋_GB2312"/>
          <w:kern w:val="0"/>
          <w:sz w:val="32"/>
          <w:szCs w:val="32"/>
          <w:highlight w:val="none"/>
        </w:rPr>
        <w:t>（九）负责管理电影行政事务，指导监管电影制片、发行、放映工作，组织对电影内容进行审查，指导协调重大电影活动。</w:t>
      </w:r>
    </w:p>
    <w:p>
      <w:pPr>
        <w:ind w:firstLine="636"/>
        <w:rPr>
          <w:rFonts w:ascii="仿宋_GB2312" w:hAnsi="仿宋_GB2312" w:eastAsia="仿宋_GB2312" w:cs="仿宋_GB2312"/>
          <w:kern w:val="0"/>
          <w:sz w:val="32"/>
          <w:szCs w:val="32"/>
          <w:highlight w:val="none"/>
        </w:rPr>
      </w:pPr>
      <w:r>
        <w:rPr>
          <w:rFonts w:ascii="仿宋_GB2312" w:hAnsi="仿宋_GB2312" w:eastAsia="仿宋_GB2312" w:cs="仿宋_GB2312"/>
          <w:kern w:val="0"/>
          <w:sz w:val="32"/>
          <w:szCs w:val="32"/>
          <w:highlight w:val="none"/>
        </w:rPr>
        <w:t>（十）对新闻出版、广播影视、文化艺术业改革发展研究提出相关建议，统筹指导协调文化体制改革和文化事业、文化产业及旅游业发展，指导协调国有文化企业监督管理工作。</w:t>
      </w:r>
    </w:p>
    <w:p>
      <w:pPr>
        <w:ind w:firstLine="636"/>
        <w:rPr>
          <w:rFonts w:ascii="仿宋_GB2312" w:hAnsi="仿宋_GB2312" w:eastAsia="仿宋_GB2312" w:cs="仿宋_GB2312"/>
          <w:kern w:val="0"/>
          <w:sz w:val="32"/>
          <w:szCs w:val="32"/>
          <w:highlight w:val="none"/>
        </w:rPr>
      </w:pPr>
      <w:r>
        <w:rPr>
          <w:rFonts w:ascii="仿宋_GB2312" w:hAnsi="仿宋_GB2312" w:eastAsia="仿宋_GB2312" w:cs="仿宋_GB2312"/>
          <w:kern w:val="0"/>
          <w:sz w:val="32"/>
          <w:szCs w:val="32"/>
          <w:highlight w:val="none"/>
        </w:rPr>
        <w:t>（十一）统筹指导舆情信息工作，组织协调开展全区舆情信息收集分析研判工作，跟踪了解、研究掌握宣传舆情动态。</w:t>
      </w:r>
    </w:p>
    <w:p>
      <w:pPr>
        <w:ind w:firstLine="636"/>
        <w:rPr>
          <w:rFonts w:ascii="仿宋_GB2312" w:hAnsi="仿宋_GB2312" w:eastAsia="仿宋_GB2312" w:cs="仿宋_GB2312"/>
          <w:kern w:val="0"/>
          <w:sz w:val="32"/>
          <w:szCs w:val="32"/>
          <w:highlight w:val="none"/>
        </w:rPr>
      </w:pPr>
      <w:r>
        <w:rPr>
          <w:rFonts w:ascii="仿宋_GB2312" w:hAnsi="仿宋_GB2312" w:eastAsia="仿宋_GB2312" w:cs="仿宋_GB2312"/>
          <w:kern w:val="0"/>
          <w:sz w:val="32"/>
          <w:szCs w:val="32"/>
          <w:highlight w:val="none"/>
        </w:rPr>
        <w:t>（十二）统筹协调全区对外宣传工作，指导协调有关部门研究拟订对外宣传工作相关措施和对外宣传事业发展规划。指导对外文化交流工作。会同有关部门做好境外媒体记者在全区采访的服务引导工作。</w:t>
      </w:r>
    </w:p>
    <w:p>
      <w:pPr>
        <w:ind w:firstLine="636"/>
        <w:rPr>
          <w:rFonts w:ascii="仿宋_GB2312" w:hAnsi="仿宋_GB2312" w:eastAsia="仿宋_GB2312" w:cs="仿宋_GB2312"/>
          <w:kern w:val="0"/>
          <w:sz w:val="32"/>
          <w:szCs w:val="32"/>
          <w:highlight w:val="none"/>
        </w:rPr>
      </w:pPr>
      <w:r>
        <w:rPr>
          <w:rFonts w:ascii="仿宋_GB2312" w:hAnsi="仿宋_GB2312" w:eastAsia="仿宋_GB2312" w:cs="仿宋_GB2312"/>
          <w:kern w:val="0"/>
          <w:sz w:val="32"/>
          <w:szCs w:val="32"/>
          <w:highlight w:val="none"/>
        </w:rPr>
        <w:t>（十三）统筹协调组织开展新闻发布工作，承担区委新闻发布有关组织协调工作，负责区政府新闻发布组织实施工作，指导协调区直各部门和各乡镇（街道）的新闻发布工作，推动新闻发言人制度建设。</w:t>
      </w:r>
    </w:p>
    <w:p>
      <w:pPr>
        <w:ind w:firstLine="636"/>
        <w:rPr>
          <w:rFonts w:ascii="仿宋_GB2312" w:hAnsi="仿宋_GB2312" w:eastAsia="仿宋_GB2312" w:cs="仿宋_GB2312"/>
          <w:kern w:val="0"/>
          <w:sz w:val="32"/>
          <w:szCs w:val="32"/>
          <w:highlight w:val="none"/>
        </w:rPr>
      </w:pPr>
      <w:r>
        <w:rPr>
          <w:rFonts w:ascii="仿宋_GB2312" w:hAnsi="仿宋_GB2312" w:eastAsia="仿宋_GB2312" w:cs="仿宋_GB2312"/>
          <w:kern w:val="0"/>
          <w:sz w:val="32"/>
          <w:szCs w:val="32"/>
          <w:highlight w:val="none"/>
        </w:rPr>
        <w:t>（十四）贯彻落实党中央关于加强社会主义精神文明建设的方针政策和省委、市委、区委有关部署，在</w:t>
      </w:r>
      <w:r>
        <w:rPr>
          <w:rFonts w:hint="eastAsia" w:ascii="仿宋_GB2312" w:hAnsi="仿宋_GB2312" w:eastAsia="仿宋_GB2312" w:cs="仿宋_GB2312"/>
          <w:kern w:val="0"/>
          <w:sz w:val="32"/>
          <w:szCs w:val="32"/>
          <w:highlight w:val="none"/>
        </w:rPr>
        <w:t>许昌市建安</w:t>
      </w:r>
      <w:r>
        <w:rPr>
          <w:rFonts w:ascii="仿宋_GB2312" w:hAnsi="仿宋_GB2312" w:eastAsia="仿宋_GB2312" w:cs="仿宋_GB2312"/>
          <w:kern w:val="0"/>
          <w:sz w:val="32"/>
          <w:szCs w:val="32"/>
          <w:highlight w:val="none"/>
        </w:rPr>
        <w:t>区精神文明建设指导委员会指导下统筹协调、指导推动全区精神文明建设工作，组织开展全区群众性精神文明创建活动，评选表彰精神文明建设先进典型，总结推广先进经验。</w:t>
      </w:r>
    </w:p>
    <w:p>
      <w:pPr>
        <w:ind w:firstLine="640" w:firstLineChars="200"/>
        <w:rPr>
          <w:rFonts w:ascii="仿宋_GB2312" w:hAnsi="仿宋_GB2312" w:eastAsia="仿宋_GB2312" w:cs="仿宋_GB2312"/>
          <w:kern w:val="0"/>
          <w:sz w:val="32"/>
          <w:szCs w:val="32"/>
          <w:highlight w:val="none"/>
        </w:rPr>
      </w:pPr>
      <w:r>
        <w:rPr>
          <w:rFonts w:ascii="仿宋_GB2312" w:hAnsi="仿宋_GB2312" w:eastAsia="仿宋_GB2312" w:cs="仿宋_GB2312"/>
          <w:kern w:val="0"/>
          <w:sz w:val="32"/>
          <w:szCs w:val="32"/>
          <w:highlight w:val="none"/>
        </w:rPr>
        <w:t>（十五）研究拟订全区网络安全和信息化发展的有关规范性文件和规划；统筹推进网络安全和信息化领域国家标准的组织实施；依法履行全区网络安全和信息化行政管理职能。负责全区互联网信息内容管理，统筹协调组织互联网宣传管理和舆论引导工作，维护网络意识形态安全。</w:t>
      </w:r>
    </w:p>
    <w:p>
      <w:pPr>
        <w:ind w:firstLine="640" w:firstLineChars="200"/>
        <w:rPr>
          <w:rFonts w:ascii="仿宋_GB2312" w:hAnsi="仿宋_GB2312" w:eastAsia="仿宋_GB2312" w:cs="仿宋_GB2312"/>
          <w:kern w:val="0"/>
          <w:sz w:val="32"/>
          <w:szCs w:val="32"/>
          <w:highlight w:val="none"/>
        </w:rPr>
      </w:pPr>
      <w:r>
        <w:rPr>
          <w:rFonts w:ascii="仿宋_GB2312" w:hAnsi="仿宋_GB2312" w:eastAsia="仿宋_GB2312" w:cs="仿宋_GB2312"/>
          <w:kern w:val="0"/>
          <w:sz w:val="32"/>
          <w:szCs w:val="32"/>
          <w:highlight w:val="none"/>
        </w:rPr>
        <w:t>（十六）指导协调</w:t>
      </w:r>
      <w:r>
        <w:rPr>
          <w:rFonts w:hint="eastAsia" w:ascii="仿宋_GB2312" w:hAnsi="仿宋_GB2312" w:eastAsia="仿宋_GB2312" w:cs="仿宋_GB2312"/>
          <w:kern w:val="0"/>
          <w:sz w:val="32"/>
          <w:szCs w:val="32"/>
          <w:highlight w:val="none"/>
        </w:rPr>
        <w:t>许昌市建安</w:t>
      </w:r>
      <w:r>
        <w:rPr>
          <w:rFonts w:ascii="仿宋_GB2312" w:hAnsi="仿宋_GB2312" w:eastAsia="仿宋_GB2312" w:cs="仿宋_GB2312"/>
          <w:kern w:val="0"/>
          <w:sz w:val="32"/>
          <w:szCs w:val="32"/>
          <w:highlight w:val="none"/>
        </w:rPr>
        <w:t>区文联、</w:t>
      </w:r>
      <w:r>
        <w:rPr>
          <w:rFonts w:hint="eastAsia" w:ascii="仿宋_GB2312" w:hAnsi="仿宋_GB2312" w:eastAsia="仿宋_GB2312" w:cs="仿宋_GB2312"/>
          <w:kern w:val="0"/>
          <w:sz w:val="32"/>
          <w:szCs w:val="32"/>
          <w:highlight w:val="none"/>
        </w:rPr>
        <w:t>许昌市建安</w:t>
      </w:r>
      <w:r>
        <w:rPr>
          <w:rFonts w:ascii="仿宋_GB2312" w:hAnsi="仿宋_GB2312" w:eastAsia="仿宋_GB2312" w:cs="仿宋_GB2312"/>
          <w:kern w:val="0"/>
          <w:sz w:val="32"/>
          <w:szCs w:val="32"/>
          <w:highlight w:val="none"/>
        </w:rPr>
        <w:t>区文化广电和旅游局，对</w:t>
      </w:r>
      <w:r>
        <w:rPr>
          <w:rFonts w:hint="eastAsia" w:ascii="仿宋_GB2312" w:hAnsi="仿宋_GB2312" w:eastAsia="仿宋_GB2312" w:cs="仿宋_GB2312"/>
          <w:kern w:val="0"/>
          <w:sz w:val="32"/>
          <w:szCs w:val="32"/>
          <w:highlight w:val="none"/>
        </w:rPr>
        <w:t>许昌市建安</w:t>
      </w:r>
      <w:r>
        <w:rPr>
          <w:rFonts w:ascii="仿宋_GB2312" w:hAnsi="仿宋_GB2312" w:eastAsia="仿宋_GB2312" w:cs="仿宋_GB2312"/>
          <w:kern w:val="0"/>
          <w:sz w:val="32"/>
          <w:szCs w:val="32"/>
          <w:highlight w:val="none"/>
        </w:rPr>
        <w:t>区新闻信息中心实施领导。</w:t>
      </w:r>
    </w:p>
    <w:p>
      <w:pPr>
        <w:ind w:firstLine="640" w:firstLineChars="200"/>
        <w:rPr>
          <w:rFonts w:ascii="仿宋_GB2312" w:hAnsi="仿宋_GB2312" w:eastAsia="仿宋_GB2312" w:cs="仿宋_GB2312"/>
          <w:kern w:val="0"/>
          <w:sz w:val="32"/>
          <w:szCs w:val="32"/>
          <w:highlight w:val="none"/>
        </w:rPr>
      </w:pPr>
      <w:r>
        <w:rPr>
          <w:rFonts w:ascii="仿宋_GB2312" w:hAnsi="仿宋_GB2312" w:eastAsia="仿宋_GB2312" w:cs="仿宋_GB2312"/>
          <w:kern w:val="0"/>
          <w:sz w:val="32"/>
          <w:szCs w:val="32"/>
          <w:highlight w:val="none"/>
        </w:rPr>
        <w:t>（十七）完成区委交办的其他任务。</w:t>
      </w:r>
    </w:p>
    <w:p>
      <w:pPr>
        <w:spacing w:line="600" w:lineRule="exact"/>
        <w:ind w:firstLine="640" w:firstLineChars="200"/>
        <w:rPr>
          <w:rFonts w:hint="eastAsia" w:ascii="仿宋_GB2312" w:hAnsi="宋体" w:eastAsia="仿宋_GB2312" w:cs="宋体"/>
          <w:kern w:val="0"/>
          <w:sz w:val="32"/>
          <w:szCs w:val="32"/>
          <w:highlight w:val="none"/>
        </w:rPr>
      </w:pPr>
      <w:r>
        <w:rPr>
          <w:rFonts w:ascii="仿宋_GB2312" w:hAnsi="仿宋_GB2312" w:eastAsia="仿宋_GB2312" w:cs="仿宋_GB2312"/>
          <w:kern w:val="0"/>
          <w:sz w:val="32"/>
          <w:szCs w:val="32"/>
          <w:highlight w:val="none"/>
        </w:rPr>
        <w:t>（十八）有关职责分工。区委宣传部负责对出版环节的动漫、游戏出版物的网上出版发行进行管理。</w:t>
      </w:r>
      <w:r>
        <w:rPr>
          <w:rFonts w:hint="eastAsia" w:ascii="仿宋_GB2312" w:hAnsi="仿宋_GB2312" w:eastAsia="仿宋_GB2312" w:cs="仿宋_GB2312"/>
          <w:kern w:val="0"/>
          <w:sz w:val="32"/>
          <w:szCs w:val="32"/>
          <w:highlight w:val="none"/>
        </w:rPr>
        <w:t>许昌市建安</w:t>
      </w:r>
      <w:r>
        <w:rPr>
          <w:rFonts w:ascii="仿宋_GB2312" w:hAnsi="仿宋_GB2312" w:eastAsia="仿宋_GB2312" w:cs="仿宋_GB2312"/>
          <w:kern w:val="0"/>
          <w:sz w:val="32"/>
          <w:szCs w:val="32"/>
          <w:highlight w:val="none"/>
        </w:rPr>
        <w:t>区文化广电和旅游局负责动漫和网络游戏相关产业规划、产业基地、项目建设、会展交易和市场监管，负责对影视动漫和网络视听节目中的动漫节目进行管理</w:t>
      </w:r>
      <w:r>
        <w:rPr>
          <w:rFonts w:hint="eastAsia" w:ascii="仿宋_GB2312" w:hAnsi="宋体" w:eastAsia="仿宋_GB2312" w:cs="宋体"/>
          <w:kern w:val="0"/>
          <w:sz w:val="32"/>
          <w:szCs w:val="32"/>
          <w:highlight w:val="none"/>
        </w:rPr>
        <w:t>。</w:t>
      </w:r>
    </w:p>
    <w:p>
      <w:pPr>
        <w:widowControl/>
        <w:ind w:firstLine="640" w:firstLineChars="200"/>
        <w:jc w:val="left"/>
        <w:outlineLvl w:val="1"/>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二、机构设置</w:t>
      </w:r>
    </w:p>
    <w:p>
      <w:pPr>
        <w:widowControl/>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中共许昌市建安区</w:t>
      </w:r>
      <w:r>
        <w:rPr>
          <w:rFonts w:hint="eastAsia" w:ascii="仿宋_GB2312" w:hAnsi="仿宋_GB2312" w:eastAsia="仿宋_GB2312" w:cs="仿宋_GB2312"/>
          <w:kern w:val="0"/>
          <w:sz w:val="32"/>
          <w:szCs w:val="32"/>
          <w:highlight w:val="none"/>
          <w:lang w:eastAsia="zh-CN"/>
        </w:rPr>
        <w:t>委</w:t>
      </w:r>
      <w:r>
        <w:rPr>
          <w:rFonts w:hint="eastAsia" w:ascii="仿宋_GB2312" w:hAnsi="仿宋_GB2312" w:eastAsia="仿宋_GB2312" w:cs="仿宋_GB2312"/>
          <w:kern w:val="0"/>
          <w:sz w:val="32"/>
          <w:szCs w:val="32"/>
          <w:highlight w:val="none"/>
        </w:rPr>
        <w:t>宣传部内设机构6个，包括：</w:t>
      </w:r>
      <w:r>
        <w:rPr>
          <w:rFonts w:ascii="仿宋_GB2312" w:hAnsi="仿宋_GB2312" w:eastAsia="仿宋_GB2312" w:cs="仿宋_GB2312"/>
          <w:kern w:val="0"/>
          <w:sz w:val="32"/>
          <w:szCs w:val="32"/>
          <w:highlight w:val="none"/>
        </w:rPr>
        <w:t>办公室</w:t>
      </w:r>
      <w:r>
        <w:rPr>
          <w:rFonts w:hint="eastAsia" w:ascii="仿宋_GB2312" w:hAnsi="仿宋_GB2312" w:eastAsia="仿宋_GB2312" w:cs="仿宋_GB2312"/>
          <w:kern w:val="0"/>
          <w:sz w:val="32"/>
          <w:szCs w:val="32"/>
          <w:highlight w:val="none"/>
        </w:rPr>
        <w:t>、</w:t>
      </w:r>
      <w:r>
        <w:rPr>
          <w:rFonts w:ascii="仿宋_GB2312" w:hAnsi="仿宋_GB2312" w:eastAsia="仿宋_GB2312" w:cs="仿宋_GB2312"/>
          <w:kern w:val="0"/>
          <w:sz w:val="32"/>
          <w:szCs w:val="32"/>
          <w:highlight w:val="none"/>
        </w:rPr>
        <w:t>宣教股</w:t>
      </w:r>
      <w:r>
        <w:rPr>
          <w:rFonts w:hint="eastAsia" w:ascii="仿宋_GB2312" w:hAnsi="仿宋_GB2312" w:eastAsia="仿宋_GB2312" w:cs="仿宋_GB2312"/>
          <w:kern w:val="0"/>
          <w:sz w:val="32"/>
          <w:szCs w:val="32"/>
          <w:highlight w:val="none"/>
        </w:rPr>
        <w:t>、</w:t>
      </w:r>
      <w:r>
        <w:rPr>
          <w:rFonts w:ascii="仿宋_GB2312" w:hAnsi="仿宋_GB2312" w:eastAsia="仿宋_GB2312" w:cs="仿宋_GB2312"/>
          <w:kern w:val="0"/>
          <w:sz w:val="32"/>
          <w:szCs w:val="32"/>
          <w:highlight w:val="none"/>
        </w:rPr>
        <w:t>理论股</w:t>
      </w:r>
      <w:r>
        <w:rPr>
          <w:rFonts w:hint="eastAsia" w:ascii="仿宋_GB2312" w:hAnsi="仿宋_GB2312" w:eastAsia="仿宋_GB2312" w:cs="仿宋_GB2312"/>
          <w:kern w:val="0"/>
          <w:sz w:val="32"/>
          <w:szCs w:val="32"/>
          <w:highlight w:val="none"/>
        </w:rPr>
        <w:t>、</w:t>
      </w:r>
      <w:r>
        <w:rPr>
          <w:rFonts w:ascii="仿宋_GB2312" w:hAnsi="仿宋_GB2312" w:eastAsia="仿宋_GB2312" w:cs="仿宋_GB2312"/>
          <w:kern w:val="0"/>
          <w:sz w:val="32"/>
          <w:szCs w:val="32"/>
          <w:highlight w:val="none"/>
        </w:rPr>
        <w:t>新闻股</w:t>
      </w:r>
      <w:r>
        <w:rPr>
          <w:rFonts w:hint="eastAsia" w:ascii="仿宋_GB2312" w:hAnsi="仿宋_GB2312" w:eastAsia="仿宋_GB2312" w:cs="仿宋_GB2312"/>
          <w:kern w:val="0"/>
          <w:sz w:val="32"/>
          <w:szCs w:val="32"/>
          <w:highlight w:val="none"/>
        </w:rPr>
        <w:t>、新闻出版管理和</w:t>
      </w:r>
      <w:r>
        <w:rPr>
          <w:rFonts w:ascii="仿宋_GB2312" w:hAnsi="仿宋_GB2312" w:eastAsia="仿宋_GB2312" w:cs="仿宋_GB2312"/>
          <w:kern w:val="0"/>
          <w:sz w:val="32"/>
          <w:szCs w:val="32"/>
          <w:highlight w:val="none"/>
        </w:rPr>
        <w:t>文教股</w:t>
      </w:r>
      <w:r>
        <w:rPr>
          <w:rFonts w:hint="eastAsia" w:ascii="仿宋_GB2312" w:hAnsi="仿宋_GB2312" w:eastAsia="仿宋_GB2312" w:cs="仿宋_GB2312"/>
          <w:kern w:val="0"/>
          <w:sz w:val="32"/>
          <w:szCs w:val="32"/>
          <w:highlight w:val="none"/>
        </w:rPr>
        <w:t>、</w:t>
      </w:r>
      <w:r>
        <w:rPr>
          <w:rFonts w:ascii="仿宋_GB2312" w:hAnsi="仿宋_GB2312" w:eastAsia="仿宋_GB2312" w:cs="仿宋_GB2312"/>
          <w:kern w:val="0"/>
          <w:sz w:val="32"/>
          <w:szCs w:val="32"/>
          <w:highlight w:val="none"/>
        </w:rPr>
        <w:t>对外宣传办公室</w:t>
      </w:r>
      <w:r>
        <w:rPr>
          <w:rFonts w:hint="eastAsia" w:ascii="仿宋_GB2312" w:hAnsi="仿宋_GB2312" w:eastAsia="仿宋_GB2312" w:cs="仿宋_GB2312"/>
          <w:kern w:val="0"/>
          <w:sz w:val="32"/>
          <w:szCs w:val="32"/>
          <w:highlight w:val="none"/>
        </w:rPr>
        <w:t>。二级</w:t>
      </w:r>
      <w:r>
        <w:rPr>
          <w:rFonts w:ascii="仿宋_GB2312" w:hAnsi="仿宋_GB2312" w:eastAsia="仿宋_GB2312" w:cs="仿宋_GB2312"/>
          <w:kern w:val="0"/>
          <w:sz w:val="32"/>
          <w:szCs w:val="32"/>
          <w:highlight w:val="none"/>
        </w:rPr>
        <w:t>单位两个，分别是</w:t>
      </w:r>
      <w:r>
        <w:rPr>
          <w:rFonts w:hint="eastAsia" w:ascii="仿宋_GB2312" w:hAnsi="仿宋_GB2312" w:eastAsia="仿宋_GB2312" w:cs="仿宋_GB2312"/>
          <w:sz w:val="32"/>
          <w:szCs w:val="32"/>
          <w:highlight w:val="none"/>
        </w:rPr>
        <w:t>许昌市建安区精神文明建设指导委员会办公室、许昌市建安区新闻信息中心。</w:t>
      </w:r>
    </w:p>
    <w:p>
      <w:pPr>
        <w:widowControl/>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从决算单位构成看，中共许昌市建安区</w:t>
      </w:r>
      <w:r>
        <w:rPr>
          <w:rFonts w:hint="eastAsia" w:ascii="仿宋_GB2312" w:hAnsi="仿宋_GB2312" w:eastAsia="仿宋_GB2312" w:cs="仿宋_GB2312"/>
          <w:kern w:val="0"/>
          <w:sz w:val="32"/>
          <w:szCs w:val="32"/>
          <w:highlight w:val="none"/>
          <w:lang w:eastAsia="zh-CN"/>
        </w:rPr>
        <w:t>委</w:t>
      </w:r>
      <w:r>
        <w:rPr>
          <w:rFonts w:hint="eastAsia" w:ascii="仿宋_GB2312" w:hAnsi="仿宋_GB2312" w:eastAsia="仿宋_GB2312" w:cs="仿宋_GB2312"/>
          <w:kern w:val="0"/>
          <w:sz w:val="32"/>
          <w:szCs w:val="32"/>
          <w:highlight w:val="none"/>
        </w:rPr>
        <w:t>宣传部部门决算包括：本级决算、所属单位决算。</w:t>
      </w:r>
    </w:p>
    <w:p>
      <w:pPr>
        <w:widowControl/>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本决算为汇总决算，纳入本部门2020年度部门决算编制范围的单位共3个，其中二级预算单位</w:t>
      </w:r>
      <w:r>
        <w:rPr>
          <w:rFonts w:ascii="仿宋_GB2312" w:hAnsi="仿宋_GB2312" w:eastAsia="仿宋_GB2312" w:cs="仿宋_GB2312"/>
          <w:kern w:val="0"/>
          <w:sz w:val="32"/>
          <w:szCs w:val="32"/>
          <w:highlight w:val="none"/>
        </w:rPr>
        <w:t>3</w:t>
      </w:r>
      <w:r>
        <w:rPr>
          <w:rFonts w:hint="eastAsia" w:ascii="仿宋_GB2312" w:hAnsi="仿宋_GB2312" w:eastAsia="仿宋_GB2312" w:cs="仿宋_GB2312"/>
          <w:kern w:val="0"/>
          <w:sz w:val="32"/>
          <w:szCs w:val="32"/>
          <w:highlight w:val="none"/>
        </w:rPr>
        <w:t>个，具体是：</w:t>
      </w:r>
    </w:p>
    <w:p>
      <w:pPr>
        <w:adjustRightInd w:val="0"/>
        <w:snapToGrid w:val="0"/>
        <w:spacing w:line="6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1、中共许昌市建安区委宣传部(本级)</w:t>
      </w:r>
    </w:p>
    <w:p>
      <w:pPr>
        <w:adjustRightInd w:val="0"/>
        <w:snapToGrid w:val="0"/>
        <w:spacing w:line="6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2、许昌市建安区精神文明建设指导委员会办公室</w:t>
      </w:r>
    </w:p>
    <w:p>
      <w:pPr>
        <w:widowControl/>
        <w:ind w:firstLine="640" w:firstLineChars="200"/>
        <w:jc w:val="left"/>
        <w:rPr>
          <w:rFonts w:hint="eastAsia" w:ascii="黑体" w:hAnsi="宋体" w:eastAsia="仿宋_GB2312" w:cs="宋体"/>
          <w:kern w:val="0"/>
          <w:sz w:val="28"/>
          <w:szCs w:val="28"/>
          <w:highlight w:val="none"/>
          <w:lang w:eastAsia="zh-CN"/>
        </w:rPr>
        <w:sectPr>
          <w:pgSz w:w="11906" w:h="16838"/>
          <w:pgMar w:top="1440" w:right="1800" w:bottom="1440" w:left="1800" w:header="720" w:footer="720" w:gutter="0"/>
          <w:pgNumType w:fmt="numberInDash"/>
          <w:cols w:space="720" w:num="1"/>
          <w:docGrid w:type="lines" w:linePitch="312" w:charSpace="0"/>
        </w:sectPr>
      </w:pPr>
      <w:r>
        <w:rPr>
          <w:rFonts w:hint="eastAsia" w:ascii="仿宋_GB2312" w:hAnsi="仿宋_GB2312" w:eastAsia="仿宋_GB2312" w:cs="仿宋_GB2312"/>
          <w:sz w:val="32"/>
          <w:szCs w:val="32"/>
          <w:highlight w:val="none"/>
        </w:rPr>
        <w:t>3、许昌市建安区新闻信息中</w:t>
      </w:r>
      <w:r>
        <w:rPr>
          <w:rFonts w:hint="eastAsia" w:ascii="仿宋_GB2312" w:hAnsi="仿宋_GB2312" w:eastAsia="仿宋_GB2312" w:cs="仿宋_GB2312"/>
          <w:sz w:val="32"/>
          <w:szCs w:val="32"/>
          <w:highlight w:val="none"/>
          <w:lang w:eastAsia="zh-CN"/>
        </w:rPr>
        <w:t>心。</w:t>
      </w: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r>
        <w:rPr>
          <w:rFonts w:hint="eastAsia" w:ascii="黑体" w:hAnsi="黑体" w:eastAsia="黑体" w:cs="黑体"/>
          <w:sz w:val="48"/>
          <w:szCs w:val="48"/>
          <w:highlight w:val="none"/>
        </w:rPr>
        <w:t>第二部分  2021年度部门决算表</w:t>
      </w: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sectPr>
          <w:footerReference r:id="rId3" w:type="default"/>
          <w:footerReference r:id="rId4" w:type="even"/>
          <w:pgSz w:w="11906" w:h="16838"/>
          <w:pgMar w:top="1440" w:right="1800" w:bottom="1440" w:left="1800" w:header="720" w:footer="720" w:gutter="0"/>
          <w:pgNumType w:fmt="numberInDash"/>
          <w:cols w:space="720" w:num="1"/>
          <w:docGrid w:type="lines" w:linePitch="312" w:charSpace="0"/>
        </w:sectPr>
      </w:pPr>
    </w:p>
    <w:p>
      <w:pPr>
        <w:rPr>
          <w:rFonts w:hint="eastAsia" w:ascii="仿宋_GB2312" w:hAnsi="仿宋_GB2312" w:eastAsia="仿宋_GB2312" w:cs="仿宋_GB2312"/>
          <w:sz w:val="32"/>
          <w:szCs w:val="32"/>
          <w:highlight w:val="none"/>
        </w:rPr>
      </w:pPr>
    </w:p>
    <w:tbl>
      <w:tblPr>
        <w:tblStyle w:val="8"/>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62"/>
        <w:gridCol w:w="819"/>
        <w:gridCol w:w="1368"/>
        <w:gridCol w:w="4387"/>
        <w:gridCol w:w="819"/>
        <w:gridCol w:w="2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highlight w:val="none"/>
                <w:u w:val="none"/>
              </w:rPr>
            </w:pPr>
            <w:r>
              <w:rPr>
                <w:rFonts w:hint="eastAsia" w:ascii="宋体" w:hAnsi="宋体" w:eastAsia="宋体" w:cs="宋体"/>
                <w:i w:val="0"/>
                <w:iCs w:val="0"/>
                <w:color w:val="000000"/>
                <w:kern w:val="0"/>
                <w:sz w:val="30"/>
                <w:szCs w:val="30"/>
                <w:highlight w:val="none"/>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noWrap/>
            <w:vAlign w:val="bottom"/>
          </w:tcPr>
          <w:p>
            <w:pPr>
              <w:rPr>
                <w:rFonts w:hint="eastAsia" w:ascii="Arial" w:hAnsi="Arial" w:cs="Arial"/>
                <w:i w:val="0"/>
                <w:iCs w:val="0"/>
                <w:color w:val="000000"/>
                <w:sz w:val="20"/>
                <w:szCs w:val="20"/>
                <w:highlight w:val="none"/>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0" w:type="auto"/>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部门：中共许昌市建安区委宣传部</w:t>
            </w: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0" w:type="auto"/>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行次</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金额</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行次</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0" w:type="auto"/>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0" w:type="auto"/>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一、一般公共预算财政拨款收入</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1,130.25</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一、一般公共服务支出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1,139.90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二、外交支出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三、国防支出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四、上级补助收入</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四、公共安全支出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五、事业收入</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五、教育支出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六、经营收入</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六、科学技术支出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七、附属单位上缴收入</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七、文化旅游体育与传媒支出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八、其他收入</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八、社会保障和就业支出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九、卫生健康支出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十、节能环保支出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十一、城乡社区支出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十二、农林水支出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十三、交通运输支出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十四、资源勘探工业信息等支出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十五、商业服务业等支出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十六、金融支出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十七、援助其他地区支出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十八、自然资源海洋气象等支出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十九、住房保障支出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二十、粮油物资储备支出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二十一、国有资本经营预算支出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二十三、其他支出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二十四、债务还本支出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二十五、债务付息支出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本年收入合计</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1,130.25</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本年支出合计</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1,154.25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使用非财政拨款结余</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结余分配</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年初结转和结余</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24.00</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年末结转和结余</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w:t>
            </w:r>
          </w:p>
        </w:tc>
        <w:tc>
          <w:tcPr>
            <w:tcW w:w="0" w:type="auto"/>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总计</w:t>
            </w:r>
          </w:p>
        </w:tc>
        <w:tc>
          <w:tcPr>
            <w:tcW w:w="0" w:type="auto"/>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1,154.25</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总计</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1,154.25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注：本表反映部门本年度的总收支和年末结转结余情况。本套报表金额单位转换时可能存在尾数误差。</w:t>
            </w:r>
          </w:p>
        </w:tc>
      </w:tr>
    </w:tbl>
    <w:p>
      <w:pP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p>
      <w:pPr>
        <w:rPr>
          <w:rFonts w:hint="eastAsia" w:ascii="仿宋_GB2312" w:hAnsi="仿宋_GB2312" w:eastAsia="仿宋_GB2312" w:cs="仿宋_GB2312"/>
          <w:sz w:val="32"/>
          <w:szCs w:val="32"/>
          <w:highlight w:val="none"/>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16"/>
        <w:gridCol w:w="222"/>
        <w:gridCol w:w="223"/>
        <w:gridCol w:w="2416"/>
        <w:gridCol w:w="1232"/>
        <w:gridCol w:w="1232"/>
        <w:gridCol w:w="1000"/>
        <w:gridCol w:w="1001"/>
        <w:gridCol w:w="1001"/>
        <w:gridCol w:w="1001"/>
        <w:gridCol w:w="1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11"/>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highlight w:val="none"/>
                <w:u w:val="none"/>
              </w:rPr>
            </w:pPr>
            <w:r>
              <w:rPr>
                <w:rFonts w:hint="eastAsia" w:ascii="宋体" w:hAnsi="宋体" w:eastAsia="宋体" w:cs="宋体"/>
                <w:i w:val="0"/>
                <w:iCs w:val="0"/>
                <w:color w:val="000000"/>
                <w:kern w:val="0"/>
                <w:sz w:val="30"/>
                <w:szCs w:val="30"/>
                <w:highlight w:val="none"/>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34" w:type="pct"/>
            <w:tcBorders>
              <w:top w:val="nil"/>
              <w:left w:val="nil"/>
              <w:bottom w:val="nil"/>
              <w:right w:val="nil"/>
            </w:tcBorders>
            <w:noWrap/>
            <w:vAlign w:val="bottom"/>
          </w:tcPr>
          <w:p>
            <w:pPr>
              <w:rPr>
                <w:rFonts w:hint="eastAsia" w:ascii="Arial" w:hAnsi="Arial" w:cs="Arial"/>
                <w:i w:val="0"/>
                <w:iCs w:val="0"/>
                <w:color w:val="000000"/>
                <w:sz w:val="20"/>
                <w:szCs w:val="20"/>
                <w:highlight w:val="none"/>
                <w:u w:val="none"/>
              </w:rPr>
            </w:pPr>
          </w:p>
        </w:tc>
        <w:tc>
          <w:tcPr>
            <w:tcW w:w="78"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78"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852"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435"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435"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53"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53"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53"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53"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570" w:type="pct"/>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34" w:type="pct"/>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部门：中共许昌市建安区委宣传部</w:t>
            </w:r>
          </w:p>
        </w:tc>
        <w:tc>
          <w:tcPr>
            <w:tcW w:w="78"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78"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852"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435"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435"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53"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53"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53"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53"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570" w:type="pct"/>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43"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435" w:type="pct"/>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本年收入合计</w:t>
            </w:r>
          </w:p>
        </w:tc>
        <w:tc>
          <w:tcPr>
            <w:tcW w:w="435" w:type="pct"/>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财政拨款收入</w:t>
            </w:r>
          </w:p>
        </w:tc>
        <w:tc>
          <w:tcPr>
            <w:tcW w:w="353" w:type="pct"/>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上级补助收入</w:t>
            </w:r>
          </w:p>
        </w:tc>
        <w:tc>
          <w:tcPr>
            <w:tcW w:w="353" w:type="pct"/>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事业收入</w:t>
            </w:r>
          </w:p>
        </w:tc>
        <w:tc>
          <w:tcPr>
            <w:tcW w:w="353" w:type="pct"/>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经营收入</w:t>
            </w:r>
          </w:p>
        </w:tc>
        <w:tc>
          <w:tcPr>
            <w:tcW w:w="353" w:type="pct"/>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附属单位上缴收入</w:t>
            </w:r>
          </w:p>
        </w:tc>
        <w:tc>
          <w:tcPr>
            <w:tcW w:w="570" w:type="pct"/>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1" w:type="pct"/>
            <w:gridSpan w:val="3"/>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功能分类科目编码</w:t>
            </w:r>
          </w:p>
        </w:tc>
        <w:tc>
          <w:tcPr>
            <w:tcW w:w="852"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43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43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5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5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5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5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570"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1" w:type="pct"/>
            <w:gridSpan w:val="3"/>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52"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43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43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5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5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5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5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570"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1" w:type="pct"/>
            <w:gridSpan w:val="3"/>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52"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43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43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5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5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5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5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570"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43" w:type="pct"/>
            <w:gridSpan w:val="4"/>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435"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35"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353"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353"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353"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353"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570"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43" w:type="pct"/>
            <w:gridSpan w:val="4"/>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43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1,130.25</w:t>
            </w:r>
          </w:p>
        </w:tc>
        <w:tc>
          <w:tcPr>
            <w:tcW w:w="43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1,130.25</w:t>
            </w:r>
          </w:p>
        </w:tc>
        <w:tc>
          <w:tcPr>
            <w:tcW w:w="353"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highlight w:val="none"/>
                <w:u w:val="none"/>
              </w:rPr>
            </w:pPr>
          </w:p>
        </w:tc>
        <w:tc>
          <w:tcPr>
            <w:tcW w:w="353"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highlight w:val="none"/>
                <w:u w:val="none"/>
              </w:rPr>
            </w:pPr>
          </w:p>
        </w:tc>
        <w:tc>
          <w:tcPr>
            <w:tcW w:w="353"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highlight w:val="none"/>
                <w:u w:val="none"/>
              </w:rPr>
            </w:pPr>
          </w:p>
        </w:tc>
        <w:tc>
          <w:tcPr>
            <w:tcW w:w="353"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highlight w:val="none"/>
                <w:u w:val="none"/>
              </w:rPr>
            </w:pPr>
          </w:p>
        </w:tc>
        <w:tc>
          <w:tcPr>
            <w:tcW w:w="57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1" w:type="pct"/>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w:t>
            </w:r>
          </w:p>
        </w:tc>
        <w:tc>
          <w:tcPr>
            <w:tcW w:w="8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一般公共服务支出</w:t>
            </w:r>
          </w:p>
        </w:tc>
        <w:tc>
          <w:tcPr>
            <w:tcW w:w="43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1,115.90</w:t>
            </w:r>
          </w:p>
        </w:tc>
        <w:tc>
          <w:tcPr>
            <w:tcW w:w="43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1,115.90</w:t>
            </w:r>
          </w:p>
        </w:tc>
        <w:tc>
          <w:tcPr>
            <w:tcW w:w="353"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3"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3"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3"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1" w:type="pct"/>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20133</w:t>
            </w:r>
          </w:p>
        </w:tc>
        <w:tc>
          <w:tcPr>
            <w:tcW w:w="8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宣传事务</w:t>
            </w:r>
          </w:p>
        </w:tc>
        <w:tc>
          <w:tcPr>
            <w:tcW w:w="43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1,115.90</w:t>
            </w:r>
          </w:p>
        </w:tc>
        <w:tc>
          <w:tcPr>
            <w:tcW w:w="43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1,115.90</w:t>
            </w:r>
          </w:p>
        </w:tc>
        <w:tc>
          <w:tcPr>
            <w:tcW w:w="353"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3"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3"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3"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1" w:type="pct"/>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2013301</w:t>
            </w:r>
          </w:p>
        </w:tc>
        <w:tc>
          <w:tcPr>
            <w:tcW w:w="8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43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880.35</w:t>
            </w:r>
          </w:p>
        </w:tc>
        <w:tc>
          <w:tcPr>
            <w:tcW w:w="43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880.35</w:t>
            </w:r>
          </w:p>
        </w:tc>
        <w:tc>
          <w:tcPr>
            <w:tcW w:w="353"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3"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3"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3"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1" w:type="pct"/>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2013350</w:t>
            </w:r>
          </w:p>
        </w:tc>
        <w:tc>
          <w:tcPr>
            <w:tcW w:w="8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事业运行</w:t>
            </w:r>
          </w:p>
        </w:tc>
        <w:tc>
          <w:tcPr>
            <w:tcW w:w="43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235.56</w:t>
            </w:r>
          </w:p>
        </w:tc>
        <w:tc>
          <w:tcPr>
            <w:tcW w:w="43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235.56</w:t>
            </w:r>
          </w:p>
        </w:tc>
        <w:tc>
          <w:tcPr>
            <w:tcW w:w="353"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3"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3"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3"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1" w:type="pct"/>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w:t>
            </w:r>
          </w:p>
        </w:tc>
        <w:tc>
          <w:tcPr>
            <w:tcW w:w="8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社会保障和就业支出</w:t>
            </w:r>
          </w:p>
        </w:tc>
        <w:tc>
          <w:tcPr>
            <w:tcW w:w="43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14.35</w:t>
            </w:r>
          </w:p>
        </w:tc>
        <w:tc>
          <w:tcPr>
            <w:tcW w:w="43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14.35</w:t>
            </w:r>
          </w:p>
        </w:tc>
        <w:tc>
          <w:tcPr>
            <w:tcW w:w="353"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3"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3"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3"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1" w:type="pct"/>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w:t>
            </w:r>
          </w:p>
        </w:tc>
        <w:tc>
          <w:tcPr>
            <w:tcW w:w="8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行政事业单位养老支出</w:t>
            </w:r>
          </w:p>
        </w:tc>
        <w:tc>
          <w:tcPr>
            <w:tcW w:w="43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14.35</w:t>
            </w:r>
          </w:p>
        </w:tc>
        <w:tc>
          <w:tcPr>
            <w:tcW w:w="43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14.35</w:t>
            </w:r>
          </w:p>
        </w:tc>
        <w:tc>
          <w:tcPr>
            <w:tcW w:w="353"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3"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3"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3"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1" w:type="pct"/>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2080501</w:t>
            </w:r>
          </w:p>
        </w:tc>
        <w:tc>
          <w:tcPr>
            <w:tcW w:w="8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行政单位离退休</w:t>
            </w:r>
          </w:p>
        </w:tc>
        <w:tc>
          <w:tcPr>
            <w:tcW w:w="43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14.12</w:t>
            </w:r>
          </w:p>
        </w:tc>
        <w:tc>
          <w:tcPr>
            <w:tcW w:w="43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14.12</w:t>
            </w:r>
          </w:p>
        </w:tc>
        <w:tc>
          <w:tcPr>
            <w:tcW w:w="353"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3"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3"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3"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1" w:type="pct"/>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2080502</w:t>
            </w:r>
          </w:p>
        </w:tc>
        <w:tc>
          <w:tcPr>
            <w:tcW w:w="8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事业单位离退休</w:t>
            </w:r>
          </w:p>
        </w:tc>
        <w:tc>
          <w:tcPr>
            <w:tcW w:w="43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0.23</w:t>
            </w:r>
          </w:p>
        </w:tc>
        <w:tc>
          <w:tcPr>
            <w:tcW w:w="43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0.23</w:t>
            </w:r>
          </w:p>
        </w:tc>
        <w:tc>
          <w:tcPr>
            <w:tcW w:w="353"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3"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3"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3"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1" w:type="pct"/>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852"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4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3"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3"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3"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3"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1" w:type="pct"/>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852"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4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3"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3"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3"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3"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注：本表反映部门本年度取得的各项收入情况。</w:t>
            </w:r>
          </w:p>
        </w:tc>
      </w:tr>
    </w:tbl>
    <w:p>
      <w:pP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16"/>
        <w:gridCol w:w="222"/>
        <w:gridCol w:w="222"/>
        <w:gridCol w:w="2416"/>
        <w:gridCol w:w="1504"/>
        <w:gridCol w:w="1504"/>
        <w:gridCol w:w="1504"/>
        <w:gridCol w:w="988"/>
        <w:gridCol w:w="982"/>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highlight w:val="none"/>
                <w:u w:val="none"/>
              </w:rPr>
            </w:pPr>
            <w:r>
              <w:rPr>
                <w:rFonts w:hint="eastAsia" w:ascii="宋体" w:hAnsi="宋体" w:eastAsia="宋体" w:cs="宋体"/>
                <w:i w:val="0"/>
                <w:iCs w:val="0"/>
                <w:color w:val="000000"/>
                <w:kern w:val="0"/>
                <w:sz w:val="30"/>
                <w:szCs w:val="30"/>
                <w:highlight w:val="none"/>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19" w:type="pct"/>
            <w:tcBorders>
              <w:top w:val="nil"/>
              <w:left w:val="nil"/>
              <w:bottom w:val="nil"/>
              <w:right w:val="nil"/>
            </w:tcBorders>
            <w:noWrap/>
            <w:vAlign w:val="bottom"/>
          </w:tcPr>
          <w:p>
            <w:pPr>
              <w:rPr>
                <w:rFonts w:hint="eastAsia" w:ascii="Arial" w:hAnsi="Arial" w:cs="Arial"/>
                <w:i w:val="0"/>
                <w:iCs w:val="0"/>
                <w:color w:val="000000"/>
                <w:sz w:val="20"/>
                <w:szCs w:val="20"/>
                <w:highlight w:val="none"/>
                <w:u w:val="none"/>
              </w:rPr>
            </w:pPr>
          </w:p>
        </w:tc>
        <w:tc>
          <w:tcPr>
            <w:tcW w:w="78"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78"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765"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570"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570"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570"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88"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86"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572" w:type="pct"/>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19" w:type="pct"/>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部门：中共许昌市建安区委宣传部</w:t>
            </w:r>
          </w:p>
        </w:tc>
        <w:tc>
          <w:tcPr>
            <w:tcW w:w="78"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78"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765"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570"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570"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570"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88"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86"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572" w:type="pct"/>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41"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570" w:type="pct"/>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本年支出合计</w:t>
            </w:r>
          </w:p>
        </w:tc>
        <w:tc>
          <w:tcPr>
            <w:tcW w:w="570" w:type="pct"/>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基本支出</w:t>
            </w:r>
          </w:p>
        </w:tc>
        <w:tc>
          <w:tcPr>
            <w:tcW w:w="570" w:type="pct"/>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项目支出</w:t>
            </w:r>
          </w:p>
        </w:tc>
        <w:tc>
          <w:tcPr>
            <w:tcW w:w="388" w:type="pct"/>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上缴上级支出</w:t>
            </w:r>
          </w:p>
        </w:tc>
        <w:tc>
          <w:tcPr>
            <w:tcW w:w="386" w:type="pct"/>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经营支出</w:t>
            </w:r>
          </w:p>
        </w:tc>
        <w:tc>
          <w:tcPr>
            <w:tcW w:w="572" w:type="pct"/>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5" w:type="pct"/>
            <w:gridSpan w:val="3"/>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功能分类科目编码</w:t>
            </w:r>
          </w:p>
        </w:tc>
        <w:tc>
          <w:tcPr>
            <w:tcW w:w="765"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570"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570"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570"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88"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86"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57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5" w:type="pct"/>
            <w:gridSpan w:val="3"/>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65"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570"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570"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570"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88"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86"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57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5" w:type="pct"/>
            <w:gridSpan w:val="3"/>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65"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570"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570"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570"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88"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86"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57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41" w:type="pct"/>
            <w:gridSpan w:val="4"/>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570"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70"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570"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388"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386"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572"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41" w:type="pct"/>
            <w:gridSpan w:val="4"/>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570"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1,154.25</w:t>
            </w:r>
          </w:p>
        </w:tc>
        <w:tc>
          <w:tcPr>
            <w:tcW w:w="570"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1,007.10</w:t>
            </w:r>
          </w:p>
        </w:tc>
        <w:tc>
          <w:tcPr>
            <w:tcW w:w="570"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147.15</w:t>
            </w:r>
          </w:p>
        </w:tc>
        <w:tc>
          <w:tcPr>
            <w:tcW w:w="38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highlight w:val="none"/>
                <w:u w:val="none"/>
              </w:rPr>
            </w:pPr>
          </w:p>
        </w:tc>
        <w:tc>
          <w:tcPr>
            <w:tcW w:w="38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highlight w:val="none"/>
                <w:u w:val="none"/>
              </w:rPr>
            </w:pPr>
          </w:p>
        </w:tc>
        <w:tc>
          <w:tcPr>
            <w:tcW w:w="57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5" w:type="pct"/>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w:t>
            </w:r>
          </w:p>
        </w:tc>
        <w:tc>
          <w:tcPr>
            <w:tcW w:w="76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一般公共服务支出</w:t>
            </w:r>
          </w:p>
        </w:tc>
        <w:tc>
          <w:tcPr>
            <w:tcW w:w="570"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1,139.90</w:t>
            </w:r>
          </w:p>
        </w:tc>
        <w:tc>
          <w:tcPr>
            <w:tcW w:w="570"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992.75</w:t>
            </w:r>
          </w:p>
        </w:tc>
        <w:tc>
          <w:tcPr>
            <w:tcW w:w="570"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147.15</w:t>
            </w:r>
          </w:p>
        </w:tc>
        <w:tc>
          <w:tcPr>
            <w:tcW w:w="38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8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5" w:type="pct"/>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20133</w:t>
            </w:r>
          </w:p>
        </w:tc>
        <w:tc>
          <w:tcPr>
            <w:tcW w:w="76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宣传事务</w:t>
            </w:r>
          </w:p>
        </w:tc>
        <w:tc>
          <w:tcPr>
            <w:tcW w:w="570"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1,139.90</w:t>
            </w:r>
          </w:p>
        </w:tc>
        <w:tc>
          <w:tcPr>
            <w:tcW w:w="570"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992.75</w:t>
            </w:r>
          </w:p>
        </w:tc>
        <w:tc>
          <w:tcPr>
            <w:tcW w:w="570"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147.15</w:t>
            </w:r>
          </w:p>
        </w:tc>
        <w:tc>
          <w:tcPr>
            <w:tcW w:w="38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8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5" w:type="pct"/>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2013301</w:t>
            </w:r>
          </w:p>
        </w:tc>
        <w:tc>
          <w:tcPr>
            <w:tcW w:w="76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570"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880.35</w:t>
            </w:r>
          </w:p>
        </w:tc>
        <w:tc>
          <w:tcPr>
            <w:tcW w:w="570"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733.19</w:t>
            </w:r>
          </w:p>
        </w:tc>
        <w:tc>
          <w:tcPr>
            <w:tcW w:w="570"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147.15</w:t>
            </w:r>
          </w:p>
        </w:tc>
        <w:tc>
          <w:tcPr>
            <w:tcW w:w="38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8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5" w:type="pct"/>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2013350</w:t>
            </w:r>
          </w:p>
        </w:tc>
        <w:tc>
          <w:tcPr>
            <w:tcW w:w="76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事业运行</w:t>
            </w:r>
          </w:p>
        </w:tc>
        <w:tc>
          <w:tcPr>
            <w:tcW w:w="570"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235.56</w:t>
            </w:r>
          </w:p>
        </w:tc>
        <w:tc>
          <w:tcPr>
            <w:tcW w:w="570"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235.56</w:t>
            </w:r>
          </w:p>
        </w:tc>
        <w:tc>
          <w:tcPr>
            <w:tcW w:w="57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8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8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5" w:type="pct"/>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2013399</w:t>
            </w:r>
          </w:p>
        </w:tc>
        <w:tc>
          <w:tcPr>
            <w:tcW w:w="76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其他宣传事务支出</w:t>
            </w:r>
          </w:p>
        </w:tc>
        <w:tc>
          <w:tcPr>
            <w:tcW w:w="570"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24.00</w:t>
            </w:r>
          </w:p>
        </w:tc>
        <w:tc>
          <w:tcPr>
            <w:tcW w:w="570"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24.00</w:t>
            </w:r>
          </w:p>
        </w:tc>
        <w:tc>
          <w:tcPr>
            <w:tcW w:w="57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8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8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5" w:type="pct"/>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w:t>
            </w:r>
          </w:p>
        </w:tc>
        <w:tc>
          <w:tcPr>
            <w:tcW w:w="76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社会保障和就业支出</w:t>
            </w:r>
          </w:p>
        </w:tc>
        <w:tc>
          <w:tcPr>
            <w:tcW w:w="570"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14.35</w:t>
            </w:r>
          </w:p>
        </w:tc>
        <w:tc>
          <w:tcPr>
            <w:tcW w:w="570"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14.35</w:t>
            </w:r>
          </w:p>
        </w:tc>
        <w:tc>
          <w:tcPr>
            <w:tcW w:w="57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8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8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5" w:type="pct"/>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w:t>
            </w:r>
          </w:p>
        </w:tc>
        <w:tc>
          <w:tcPr>
            <w:tcW w:w="76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行政事业单位养老支出</w:t>
            </w:r>
          </w:p>
        </w:tc>
        <w:tc>
          <w:tcPr>
            <w:tcW w:w="570"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14.35</w:t>
            </w:r>
          </w:p>
        </w:tc>
        <w:tc>
          <w:tcPr>
            <w:tcW w:w="570"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14.35</w:t>
            </w:r>
          </w:p>
        </w:tc>
        <w:tc>
          <w:tcPr>
            <w:tcW w:w="57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8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8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5" w:type="pct"/>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2080501</w:t>
            </w:r>
          </w:p>
        </w:tc>
        <w:tc>
          <w:tcPr>
            <w:tcW w:w="76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行政单位离退休</w:t>
            </w:r>
          </w:p>
        </w:tc>
        <w:tc>
          <w:tcPr>
            <w:tcW w:w="570"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14.12</w:t>
            </w:r>
          </w:p>
        </w:tc>
        <w:tc>
          <w:tcPr>
            <w:tcW w:w="570"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14.12</w:t>
            </w:r>
          </w:p>
        </w:tc>
        <w:tc>
          <w:tcPr>
            <w:tcW w:w="57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8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8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5" w:type="pct"/>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2080502</w:t>
            </w:r>
          </w:p>
        </w:tc>
        <w:tc>
          <w:tcPr>
            <w:tcW w:w="76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事业单位离退休</w:t>
            </w:r>
          </w:p>
        </w:tc>
        <w:tc>
          <w:tcPr>
            <w:tcW w:w="570"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0.23</w:t>
            </w:r>
          </w:p>
        </w:tc>
        <w:tc>
          <w:tcPr>
            <w:tcW w:w="570"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0.23</w:t>
            </w:r>
          </w:p>
        </w:tc>
        <w:tc>
          <w:tcPr>
            <w:tcW w:w="57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8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8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5" w:type="pct"/>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765"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57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8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8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注：本表反映部门本年度各项支出情况。</w:t>
            </w:r>
          </w:p>
        </w:tc>
      </w:tr>
    </w:tbl>
    <w:p>
      <w:pP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98"/>
        <w:gridCol w:w="505"/>
        <w:gridCol w:w="1377"/>
        <w:gridCol w:w="3537"/>
        <w:gridCol w:w="506"/>
        <w:gridCol w:w="1089"/>
        <w:gridCol w:w="1377"/>
        <w:gridCol w:w="1061"/>
        <w:gridCol w:w="1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highlight w:val="none"/>
                <w:u w:val="none"/>
              </w:rPr>
            </w:pPr>
            <w:r>
              <w:rPr>
                <w:rFonts w:hint="eastAsia" w:ascii="宋体" w:hAnsi="宋体" w:eastAsia="宋体" w:cs="宋体"/>
                <w:i w:val="0"/>
                <w:iCs w:val="0"/>
                <w:color w:val="000000"/>
                <w:kern w:val="0"/>
                <w:sz w:val="30"/>
                <w:szCs w:val="30"/>
                <w:highlight w:val="none"/>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20" w:type="pct"/>
            <w:tcBorders>
              <w:top w:val="nil"/>
              <w:left w:val="nil"/>
              <w:bottom w:val="nil"/>
              <w:right w:val="nil"/>
            </w:tcBorders>
            <w:noWrap/>
            <w:vAlign w:val="bottom"/>
          </w:tcPr>
          <w:p>
            <w:pPr>
              <w:rPr>
                <w:rFonts w:hint="eastAsia" w:ascii="Arial" w:hAnsi="Arial" w:cs="Arial"/>
                <w:i w:val="0"/>
                <w:iCs w:val="0"/>
                <w:color w:val="000000"/>
                <w:sz w:val="20"/>
                <w:szCs w:val="20"/>
                <w:highlight w:val="none"/>
                <w:u w:val="none"/>
              </w:rPr>
            </w:pPr>
          </w:p>
        </w:tc>
        <w:tc>
          <w:tcPr>
            <w:tcW w:w="173"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479"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1239"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173"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78"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479"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65"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590" w:type="pct"/>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20" w:type="pct"/>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部门：中共许昌市建安区委宣传部</w:t>
            </w:r>
          </w:p>
        </w:tc>
        <w:tc>
          <w:tcPr>
            <w:tcW w:w="173"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479"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1239"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173"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78"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479"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65"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590" w:type="pct"/>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72"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收     入</w:t>
            </w:r>
          </w:p>
        </w:tc>
        <w:tc>
          <w:tcPr>
            <w:tcW w:w="3227" w:type="pct"/>
            <w:gridSpan w:val="6"/>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120"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173"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行次</w:t>
            </w:r>
          </w:p>
        </w:tc>
        <w:tc>
          <w:tcPr>
            <w:tcW w:w="479"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金额</w:t>
            </w:r>
          </w:p>
        </w:tc>
        <w:tc>
          <w:tcPr>
            <w:tcW w:w="1239"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173"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行次</w:t>
            </w:r>
          </w:p>
        </w:tc>
        <w:tc>
          <w:tcPr>
            <w:tcW w:w="378"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479"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一般公共预算财政拨款</w:t>
            </w:r>
          </w:p>
        </w:tc>
        <w:tc>
          <w:tcPr>
            <w:tcW w:w="365"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政府性基金预算财政拨款</w:t>
            </w:r>
          </w:p>
        </w:tc>
        <w:tc>
          <w:tcPr>
            <w:tcW w:w="590"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12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73"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479"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39"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73"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78"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479"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65"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590"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173"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47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3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173"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37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7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3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59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一、一般公共预算财政拨款</w:t>
            </w: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79"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1,130.25</w:t>
            </w:r>
          </w:p>
        </w:tc>
        <w:tc>
          <w:tcPr>
            <w:tcW w:w="1239"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一、一般公共服务支出</w:t>
            </w: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378"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1,139.90</w:t>
            </w:r>
          </w:p>
        </w:tc>
        <w:tc>
          <w:tcPr>
            <w:tcW w:w="479"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1,139.90</w:t>
            </w:r>
          </w:p>
        </w:tc>
        <w:tc>
          <w:tcPr>
            <w:tcW w:w="36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9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二、政府性基金预算财政拨款</w:t>
            </w: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39"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二、外交支出</w:t>
            </w: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3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6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9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三、国有资本经营财政拨款</w:t>
            </w: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39"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三、国防支出</w:t>
            </w: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3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6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9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39"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四、公共安全支出</w:t>
            </w: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3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6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9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39"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五、教育支出</w:t>
            </w: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3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6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9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39"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六、科学技术支出</w:t>
            </w: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3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6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9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39"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七、文化旅游体育与传媒支出</w:t>
            </w: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3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6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9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39"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八、社会保障和就业支出</w:t>
            </w: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378"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14.35</w:t>
            </w:r>
          </w:p>
        </w:tc>
        <w:tc>
          <w:tcPr>
            <w:tcW w:w="479"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14.35</w:t>
            </w:r>
          </w:p>
        </w:tc>
        <w:tc>
          <w:tcPr>
            <w:tcW w:w="36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9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39"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九、卫生健康支出</w:t>
            </w: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3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6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9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39"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十、节能环保支出</w:t>
            </w: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3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6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9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39"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十一、城乡社区支出</w:t>
            </w: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w:t>
            </w:r>
          </w:p>
        </w:tc>
        <w:tc>
          <w:tcPr>
            <w:tcW w:w="3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6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9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39"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十二、农林水支出</w:t>
            </w: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3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6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9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39"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十三、交通运输支出</w:t>
            </w: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3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6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9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39"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十四、资源勘探工业信息等支出</w:t>
            </w: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3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6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9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39"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十五、商业服务业等支出</w:t>
            </w: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w:t>
            </w:r>
          </w:p>
        </w:tc>
        <w:tc>
          <w:tcPr>
            <w:tcW w:w="3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6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9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39"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十六、金融支出</w:t>
            </w: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3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6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9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39"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十七、援助其他地区支出</w:t>
            </w: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3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6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9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39"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十八、自然资源海洋气象等支出</w:t>
            </w: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3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6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9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39"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十九、住房保障支出</w:t>
            </w: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3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6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9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39"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二十、粮油物资储备支出</w:t>
            </w: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3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6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9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39"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二十一、国有资本经营预算支出</w:t>
            </w: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3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6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9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39"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二十二、灾害防治及应急管理支出</w:t>
            </w: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3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6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9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39"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二十三、其他支出</w:t>
            </w: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3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6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9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39"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二十四、债务还本支出</w:t>
            </w: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3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6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9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39"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二十五、债务付息支出</w:t>
            </w: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w:t>
            </w:r>
          </w:p>
        </w:tc>
        <w:tc>
          <w:tcPr>
            <w:tcW w:w="3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6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9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39"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二十六、抗疫特别国债安排的支出</w:t>
            </w: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w:t>
            </w:r>
          </w:p>
        </w:tc>
        <w:tc>
          <w:tcPr>
            <w:tcW w:w="3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6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9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本年收入合计</w:t>
            </w: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479"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1,130.25</w:t>
            </w:r>
          </w:p>
        </w:tc>
        <w:tc>
          <w:tcPr>
            <w:tcW w:w="123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本年支出合计</w:t>
            </w: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w:t>
            </w:r>
          </w:p>
        </w:tc>
        <w:tc>
          <w:tcPr>
            <w:tcW w:w="378"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1,154.25</w:t>
            </w:r>
          </w:p>
        </w:tc>
        <w:tc>
          <w:tcPr>
            <w:tcW w:w="479"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1,154.25</w:t>
            </w:r>
          </w:p>
        </w:tc>
        <w:tc>
          <w:tcPr>
            <w:tcW w:w="36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9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年初财政拨款结转和结余</w:t>
            </w: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479"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24.00</w:t>
            </w:r>
          </w:p>
        </w:tc>
        <w:tc>
          <w:tcPr>
            <w:tcW w:w="1239"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年末财政拨款结转和结余</w:t>
            </w: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3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6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9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一般公共预算财政拨款</w:t>
            </w: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479"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24.00</w:t>
            </w:r>
          </w:p>
        </w:tc>
        <w:tc>
          <w:tcPr>
            <w:tcW w:w="1239"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w:t>
            </w:r>
          </w:p>
        </w:tc>
        <w:tc>
          <w:tcPr>
            <w:tcW w:w="3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6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9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政府性基金预算财政拨款</w:t>
            </w: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39"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3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6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9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国有资本经营预算财政拨款</w:t>
            </w: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39"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w:t>
            </w:r>
          </w:p>
        </w:tc>
        <w:tc>
          <w:tcPr>
            <w:tcW w:w="3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6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9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总计</w:t>
            </w:r>
          </w:p>
        </w:tc>
        <w:tc>
          <w:tcPr>
            <w:tcW w:w="173" w:type="pct"/>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479"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1,154.25</w:t>
            </w:r>
          </w:p>
        </w:tc>
        <w:tc>
          <w:tcPr>
            <w:tcW w:w="123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总计</w:t>
            </w:r>
          </w:p>
        </w:tc>
        <w:tc>
          <w:tcPr>
            <w:tcW w:w="1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64</w:t>
            </w:r>
          </w:p>
        </w:tc>
        <w:tc>
          <w:tcPr>
            <w:tcW w:w="378"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1,154.25</w:t>
            </w:r>
          </w:p>
        </w:tc>
        <w:tc>
          <w:tcPr>
            <w:tcW w:w="479"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1,154.25</w:t>
            </w:r>
          </w:p>
        </w:tc>
        <w:tc>
          <w:tcPr>
            <w:tcW w:w="36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9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09" w:type="pct"/>
            <w:gridSpan w:val="8"/>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注：本表反映部门本年度一般公共预算财政拨款、政府性基金预算财政拨款和国有资本经营预算财政拨款的总收支和年末结转结余情况。</w:t>
            </w:r>
          </w:p>
        </w:tc>
        <w:tc>
          <w:tcPr>
            <w:tcW w:w="590" w:type="pct"/>
            <w:tcBorders>
              <w:top w:val="nil"/>
              <w:left w:val="nil"/>
              <w:bottom w:val="nil"/>
              <w:right w:val="nil"/>
            </w:tcBorders>
            <w:noWrap/>
            <w:vAlign w:val="center"/>
          </w:tcPr>
          <w:p>
            <w:pPr>
              <w:jc w:val="left"/>
              <w:rPr>
                <w:rFonts w:hint="eastAsia" w:ascii="宋体" w:hAnsi="宋体" w:eastAsia="宋体" w:cs="宋体"/>
                <w:i w:val="0"/>
                <w:iCs w:val="0"/>
                <w:color w:val="000000"/>
                <w:sz w:val="20"/>
                <w:szCs w:val="20"/>
                <w:highlight w:val="none"/>
                <w:u w:val="none"/>
              </w:rPr>
            </w:pPr>
          </w:p>
        </w:tc>
      </w:tr>
    </w:tbl>
    <w:p>
      <w:pP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04"/>
        <w:gridCol w:w="266"/>
        <w:gridCol w:w="272"/>
        <w:gridCol w:w="2934"/>
        <w:gridCol w:w="2033"/>
        <w:gridCol w:w="2027"/>
        <w:gridCol w:w="2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7"/>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highlight w:val="none"/>
                <w:u w:val="none"/>
              </w:rPr>
            </w:pPr>
            <w:r>
              <w:rPr>
                <w:rFonts w:hint="eastAsia" w:ascii="宋体" w:hAnsi="宋体" w:eastAsia="宋体" w:cs="宋体"/>
                <w:i w:val="0"/>
                <w:iCs w:val="0"/>
                <w:color w:val="000000"/>
                <w:kern w:val="0"/>
                <w:sz w:val="30"/>
                <w:szCs w:val="30"/>
                <w:highlight w:val="none"/>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77" w:type="pct"/>
            <w:tcBorders>
              <w:top w:val="nil"/>
              <w:left w:val="nil"/>
              <w:bottom w:val="nil"/>
              <w:right w:val="nil"/>
            </w:tcBorders>
            <w:noWrap/>
            <w:vAlign w:val="bottom"/>
          </w:tcPr>
          <w:p>
            <w:pPr>
              <w:rPr>
                <w:rFonts w:hint="eastAsia" w:ascii="Arial" w:hAnsi="Arial" w:cs="Arial"/>
                <w:i w:val="0"/>
                <w:iCs w:val="0"/>
                <w:color w:val="000000"/>
                <w:sz w:val="20"/>
                <w:szCs w:val="20"/>
                <w:highlight w:val="none"/>
                <w:u w:val="none"/>
              </w:rPr>
            </w:pPr>
          </w:p>
        </w:tc>
        <w:tc>
          <w:tcPr>
            <w:tcW w:w="94"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94"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1034"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717"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715"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964" w:type="pct"/>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77" w:type="pct"/>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部门：中共许昌市建安区委宣传部</w:t>
            </w:r>
          </w:p>
        </w:tc>
        <w:tc>
          <w:tcPr>
            <w:tcW w:w="94"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94"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1034"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717"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715"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964" w:type="pct"/>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02"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2397" w:type="pct"/>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67" w:type="pct"/>
            <w:gridSpan w:val="3"/>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功能分类科目编码</w:t>
            </w:r>
          </w:p>
        </w:tc>
        <w:tc>
          <w:tcPr>
            <w:tcW w:w="1034"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717"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715"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基本支出</w:t>
            </w:r>
          </w:p>
        </w:tc>
        <w:tc>
          <w:tcPr>
            <w:tcW w:w="964"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7" w:type="pct"/>
            <w:gridSpan w:val="3"/>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34"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717"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15"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964"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67" w:type="pct"/>
            <w:gridSpan w:val="3"/>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34"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717"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15"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964"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02" w:type="pct"/>
            <w:gridSpan w:val="4"/>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71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1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96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02" w:type="pct"/>
            <w:gridSpan w:val="4"/>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71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1,154.25</w:t>
            </w:r>
          </w:p>
        </w:tc>
        <w:tc>
          <w:tcPr>
            <w:tcW w:w="71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1,007.10</w:t>
            </w:r>
          </w:p>
        </w:tc>
        <w:tc>
          <w:tcPr>
            <w:tcW w:w="964"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147.15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67" w:type="pct"/>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w:t>
            </w:r>
          </w:p>
        </w:tc>
        <w:tc>
          <w:tcPr>
            <w:tcW w:w="1034"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一般公共服务支出</w:t>
            </w:r>
          </w:p>
        </w:tc>
        <w:tc>
          <w:tcPr>
            <w:tcW w:w="71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1,139.90</w:t>
            </w:r>
          </w:p>
        </w:tc>
        <w:tc>
          <w:tcPr>
            <w:tcW w:w="71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992.75</w:t>
            </w:r>
          </w:p>
        </w:tc>
        <w:tc>
          <w:tcPr>
            <w:tcW w:w="964"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67" w:type="pct"/>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20133</w:t>
            </w:r>
          </w:p>
        </w:tc>
        <w:tc>
          <w:tcPr>
            <w:tcW w:w="1034"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宣传事务</w:t>
            </w:r>
          </w:p>
        </w:tc>
        <w:tc>
          <w:tcPr>
            <w:tcW w:w="71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1,139.90</w:t>
            </w:r>
          </w:p>
        </w:tc>
        <w:tc>
          <w:tcPr>
            <w:tcW w:w="71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992.75</w:t>
            </w:r>
          </w:p>
        </w:tc>
        <w:tc>
          <w:tcPr>
            <w:tcW w:w="964"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67" w:type="pct"/>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2013301</w:t>
            </w:r>
          </w:p>
        </w:tc>
        <w:tc>
          <w:tcPr>
            <w:tcW w:w="1034"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71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880.35</w:t>
            </w:r>
          </w:p>
        </w:tc>
        <w:tc>
          <w:tcPr>
            <w:tcW w:w="71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733.19</w:t>
            </w:r>
          </w:p>
        </w:tc>
        <w:tc>
          <w:tcPr>
            <w:tcW w:w="964"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67" w:type="pct"/>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2013350</w:t>
            </w:r>
          </w:p>
        </w:tc>
        <w:tc>
          <w:tcPr>
            <w:tcW w:w="1034"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事业运行</w:t>
            </w:r>
          </w:p>
        </w:tc>
        <w:tc>
          <w:tcPr>
            <w:tcW w:w="71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235.56</w:t>
            </w:r>
          </w:p>
        </w:tc>
        <w:tc>
          <w:tcPr>
            <w:tcW w:w="71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235.56</w:t>
            </w:r>
          </w:p>
        </w:tc>
        <w:tc>
          <w:tcPr>
            <w:tcW w:w="964"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67" w:type="pct"/>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2013399</w:t>
            </w:r>
          </w:p>
        </w:tc>
        <w:tc>
          <w:tcPr>
            <w:tcW w:w="1034"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其他宣传事务支出</w:t>
            </w:r>
          </w:p>
        </w:tc>
        <w:tc>
          <w:tcPr>
            <w:tcW w:w="71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24.00</w:t>
            </w:r>
          </w:p>
        </w:tc>
        <w:tc>
          <w:tcPr>
            <w:tcW w:w="71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24.00</w:t>
            </w:r>
          </w:p>
        </w:tc>
        <w:tc>
          <w:tcPr>
            <w:tcW w:w="964"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67" w:type="pct"/>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w:t>
            </w:r>
          </w:p>
        </w:tc>
        <w:tc>
          <w:tcPr>
            <w:tcW w:w="1034"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社会保障和就业支出</w:t>
            </w:r>
          </w:p>
        </w:tc>
        <w:tc>
          <w:tcPr>
            <w:tcW w:w="71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14.35</w:t>
            </w:r>
          </w:p>
        </w:tc>
        <w:tc>
          <w:tcPr>
            <w:tcW w:w="71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14.35</w:t>
            </w:r>
          </w:p>
        </w:tc>
        <w:tc>
          <w:tcPr>
            <w:tcW w:w="964"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67" w:type="pct"/>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w:t>
            </w:r>
          </w:p>
        </w:tc>
        <w:tc>
          <w:tcPr>
            <w:tcW w:w="1034"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行政事业单位养老支出</w:t>
            </w:r>
          </w:p>
        </w:tc>
        <w:tc>
          <w:tcPr>
            <w:tcW w:w="71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14.35</w:t>
            </w:r>
          </w:p>
        </w:tc>
        <w:tc>
          <w:tcPr>
            <w:tcW w:w="71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14.35</w:t>
            </w:r>
          </w:p>
        </w:tc>
        <w:tc>
          <w:tcPr>
            <w:tcW w:w="964"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67" w:type="pct"/>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2080501</w:t>
            </w:r>
          </w:p>
        </w:tc>
        <w:tc>
          <w:tcPr>
            <w:tcW w:w="1034"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行政单位离退休</w:t>
            </w:r>
          </w:p>
        </w:tc>
        <w:tc>
          <w:tcPr>
            <w:tcW w:w="71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14.12</w:t>
            </w:r>
          </w:p>
        </w:tc>
        <w:tc>
          <w:tcPr>
            <w:tcW w:w="71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14.12</w:t>
            </w:r>
          </w:p>
        </w:tc>
        <w:tc>
          <w:tcPr>
            <w:tcW w:w="964"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67" w:type="pct"/>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2080502</w:t>
            </w:r>
          </w:p>
        </w:tc>
        <w:tc>
          <w:tcPr>
            <w:tcW w:w="1034"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事业单位离退休</w:t>
            </w:r>
          </w:p>
        </w:tc>
        <w:tc>
          <w:tcPr>
            <w:tcW w:w="71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0.23</w:t>
            </w:r>
          </w:p>
        </w:tc>
        <w:tc>
          <w:tcPr>
            <w:tcW w:w="71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0.23</w:t>
            </w:r>
          </w:p>
        </w:tc>
        <w:tc>
          <w:tcPr>
            <w:tcW w:w="964"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67" w:type="pct"/>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034"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71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71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964"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注：本表反映部门本年度一般公共预算财政拨款支出情况。</w:t>
            </w:r>
          </w:p>
        </w:tc>
      </w:tr>
    </w:tbl>
    <w:p>
      <w:pP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1"/>
        <w:gridCol w:w="3248"/>
        <w:gridCol w:w="822"/>
        <w:gridCol w:w="721"/>
        <w:gridCol w:w="2237"/>
        <w:gridCol w:w="822"/>
        <w:gridCol w:w="722"/>
        <w:gridCol w:w="4058"/>
        <w:gridCol w:w="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highlight w:val="none"/>
                <w:u w:val="none"/>
              </w:rPr>
            </w:pPr>
            <w:r>
              <w:rPr>
                <w:rFonts w:hint="eastAsia" w:ascii="宋体" w:hAnsi="宋体" w:eastAsia="宋体" w:cs="宋体"/>
                <w:i w:val="0"/>
                <w:iCs w:val="0"/>
                <w:color w:val="000000"/>
                <w:kern w:val="0"/>
                <w:sz w:val="30"/>
                <w:szCs w:val="30"/>
                <w:highlight w:val="none"/>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52" w:type="pct"/>
            <w:tcBorders>
              <w:top w:val="nil"/>
              <w:left w:val="nil"/>
              <w:bottom w:val="nil"/>
              <w:right w:val="nil"/>
            </w:tcBorders>
            <w:noWrap/>
            <w:vAlign w:val="bottom"/>
          </w:tcPr>
          <w:p>
            <w:pPr>
              <w:rPr>
                <w:rFonts w:hint="eastAsia" w:ascii="Arial" w:hAnsi="Arial" w:cs="Arial"/>
                <w:i w:val="0"/>
                <w:iCs w:val="0"/>
                <w:color w:val="000000"/>
                <w:sz w:val="20"/>
                <w:szCs w:val="20"/>
                <w:highlight w:val="none"/>
                <w:u w:val="none"/>
              </w:rPr>
            </w:pPr>
          </w:p>
        </w:tc>
        <w:tc>
          <w:tcPr>
            <w:tcW w:w="1133"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287"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252"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781"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287"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252"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1751" w:type="pct"/>
            <w:gridSpan w:val="2"/>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85" w:type="pct"/>
            <w:gridSpan w:val="2"/>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部门：中共许昌市建安区委宣传部</w:t>
            </w:r>
          </w:p>
        </w:tc>
        <w:tc>
          <w:tcPr>
            <w:tcW w:w="287"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252"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781"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287"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252"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1751" w:type="pct"/>
            <w:gridSpan w:val="2"/>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3"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人员经费</w:t>
            </w:r>
          </w:p>
        </w:tc>
        <w:tc>
          <w:tcPr>
            <w:tcW w:w="3326" w:type="pct"/>
            <w:gridSpan w:val="6"/>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科目编码</w:t>
            </w:r>
          </w:p>
        </w:tc>
        <w:tc>
          <w:tcPr>
            <w:tcW w:w="1133"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287"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决算数</w:t>
            </w:r>
          </w:p>
        </w:tc>
        <w:tc>
          <w:tcPr>
            <w:tcW w:w="252"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科目编码</w:t>
            </w:r>
          </w:p>
        </w:tc>
        <w:tc>
          <w:tcPr>
            <w:tcW w:w="781"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287"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决算数</w:t>
            </w:r>
          </w:p>
        </w:tc>
        <w:tc>
          <w:tcPr>
            <w:tcW w:w="252"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科目编码</w:t>
            </w:r>
          </w:p>
        </w:tc>
        <w:tc>
          <w:tcPr>
            <w:tcW w:w="1415"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335"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33"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87"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2"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81"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87"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2"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415"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35"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工资福利支出</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642.35</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商品和服务支出</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312.15</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307</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债务利息及费用支出</w:t>
            </w: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30101</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基本工资</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166.44</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30201</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办公费</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20.18</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30701</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国内债务付息</w:t>
            </w: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30102</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津贴补贴</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72.07</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30202</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印刷费</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78.10</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30702</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国外债务付息</w:t>
            </w: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30103</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奖金</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219.44</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30203</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咨询费</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资本性支出</w:t>
            </w:r>
          </w:p>
        </w:tc>
        <w:tc>
          <w:tcPr>
            <w:tcW w:w="33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30106</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伙食补助费</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30204</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手续费</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0.01</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31001</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房屋建筑物购建</w:t>
            </w: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30107</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绩效工资</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47.13</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30205</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水费</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31002</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办公设备购置</w:t>
            </w:r>
          </w:p>
        </w:tc>
        <w:tc>
          <w:tcPr>
            <w:tcW w:w="33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30108</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机关事业单位基本养老保险缴费</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46.89</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30206</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电费</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31003</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专用设备购置</w:t>
            </w: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30109</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职业年金缴费</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2.88</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30207</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邮电费</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1.91</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31005</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基础设施建设</w:t>
            </w: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30110</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职工基本医疗保险缴费</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16.30</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30208</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取暖费</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2.52</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31006</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大型修缮</w:t>
            </w: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30111</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公务员医疗补助缴费</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30209</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物业管理费</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31007</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信息网络及软件购置更新</w:t>
            </w: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30112</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其他社会保障缴费</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1.61</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30211</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差旅费</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1.73</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31008</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物资储备</w:t>
            </w: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30113</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住房公积金</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63.12</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30212</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因公出国（境）费用</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31009</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土地补偿</w:t>
            </w: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30114</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医疗费</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5.81</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30213</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维修（护）费</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9.05</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31010</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安置补助</w:t>
            </w: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30199</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其他工资福利支出</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0.66</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30214</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租赁费</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14.27</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31011</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地上附着物和青苗补偿</w:t>
            </w: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对个人和家庭的补助</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40.17</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30215</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会议费</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31012</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拆迁补偿</w:t>
            </w: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30301</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离休费</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30216</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培训费</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10.50</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31013</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公务用车购置</w:t>
            </w: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30302</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退休费</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14.35</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30217</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公务接待费</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31019</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其他交通工具购置</w:t>
            </w: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30303</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退职（役）费</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30218</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专用材料费</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31021</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文物和陈列品购置</w:t>
            </w: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30304</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抚恤金</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30224</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被装购置费</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31022</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无形资产购置</w:t>
            </w: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30305</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生活补助</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1.82</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30225</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专用燃料费</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31099</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其他资本性支出</w:t>
            </w: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30306</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救济费</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30226</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劳务费</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19.20</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399</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其他支出</w:t>
            </w: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30307</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医疗费补助</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30227</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委托业务费</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113.94</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39906</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赠与</w:t>
            </w: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30308</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助学金</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30228</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工会经费</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39907</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国家赔偿费用支出</w:t>
            </w: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30309</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奖励金</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24.00</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30229</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福利费</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39908</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对民间非营利组织和群众性自治组织补贴</w:t>
            </w: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30310</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个人农业生产补贴</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30231</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公务用车运行维护费</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1.35</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39999</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其他支出</w:t>
            </w: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30311</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代缴社会保险费</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30239</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其他交通费用</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26.18</w:t>
            </w:r>
          </w:p>
        </w:tc>
        <w:tc>
          <w:tcPr>
            <w:tcW w:w="252"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415"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30399</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其他对个人和家庭的补助</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30240</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税金及附加费用</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415"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133"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30299</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其他商品和服务支出</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13.22</w:t>
            </w:r>
          </w:p>
        </w:tc>
        <w:tc>
          <w:tcPr>
            <w:tcW w:w="252"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415"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5" w:type="pct"/>
            <w:gridSpan w:val="2"/>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人员经费合计</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682.52</w:t>
            </w:r>
          </w:p>
        </w:tc>
        <w:tc>
          <w:tcPr>
            <w:tcW w:w="2990" w:type="pct"/>
            <w:gridSpan w:val="5"/>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公用经费合计</w:t>
            </w:r>
          </w:p>
        </w:tc>
        <w:tc>
          <w:tcPr>
            <w:tcW w:w="33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注：本表反映部门本年度一般公共预算财政拨款基本支出明细情况。</w:t>
            </w:r>
          </w:p>
        </w:tc>
      </w:tr>
    </w:tbl>
    <w:p>
      <w:pP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16"/>
        <w:gridCol w:w="1080"/>
        <w:gridCol w:w="960"/>
        <w:gridCol w:w="725"/>
        <w:gridCol w:w="965"/>
        <w:gridCol w:w="736"/>
        <w:gridCol w:w="960"/>
        <w:gridCol w:w="1081"/>
        <w:gridCol w:w="961"/>
        <w:gridCol w:w="726"/>
        <w:gridCol w:w="966"/>
        <w:gridCol w:w="1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12"/>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highlight w:val="none"/>
                <w:u w:val="none"/>
              </w:rPr>
            </w:pPr>
            <w:r>
              <w:rPr>
                <w:rFonts w:hint="eastAsia" w:ascii="宋体" w:hAnsi="宋体" w:eastAsia="宋体" w:cs="宋体"/>
                <w:i w:val="0"/>
                <w:iCs w:val="0"/>
                <w:color w:val="000000"/>
                <w:kern w:val="0"/>
                <w:sz w:val="30"/>
                <w:szCs w:val="30"/>
                <w:highlight w:val="none"/>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49" w:type="pct"/>
            <w:tcBorders>
              <w:top w:val="nil"/>
              <w:left w:val="nil"/>
              <w:bottom w:val="nil"/>
              <w:right w:val="nil"/>
            </w:tcBorders>
            <w:noWrap/>
            <w:vAlign w:val="bottom"/>
          </w:tcPr>
          <w:p>
            <w:pPr>
              <w:rPr>
                <w:rFonts w:hint="eastAsia" w:ascii="Arial" w:hAnsi="Arial" w:cs="Arial"/>
                <w:i w:val="0"/>
                <w:iCs w:val="0"/>
                <w:color w:val="000000"/>
                <w:sz w:val="20"/>
                <w:szCs w:val="20"/>
                <w:highlight w:val="none"/>
                <w:u w:val="none"/>
              </w:rPr>
            </w:pPr>
          </w:p>
        </w:tc>
        <w:tc>
          <w:tcPr>
            <w:tcW w:w="416"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73"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289"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73"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289"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73"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416"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73"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289"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73"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479" w:type="pct"/>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49" w:type="pct"/>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部门：中共许昌市建安区委宣传部</w:t>
            </w:r>
          </w:p>
        </w:tc>
        <w:tc>
          <w:tcPr>
            <w:tcW w:w="416"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73"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289"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73"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289"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73"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416"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73"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289"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73"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479" w:type="pct"/>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93"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预算数</w:t>
            </w:r>
          </w:p>
        </w:tc>
        <w:tc>
          <w:tcPr>
            <w:tcW w:w="2306" w:type="pct"/>
            <w:gridSpan w:val="6"/>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49"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416"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因公出国（境）费</w:t>
            </w:r>
          </w:p>
        </w:tc>
        <w:tc>
          <w:tcPr>
            <w:tcW w:w="1037" w:type="pct"/>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公务用车购置及运行费</w:t>
            </w:r>
          </w:p>
        </w:tc>
        <w:tc>
          <w:tcPr>
            <w:tcW w:w="289"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公务接待费</w:t>
            </w:r>
          </w:p>
        </w:tc>
        <w:tc>
          <w:tcPr>
            <w:tcW w:w="373"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416"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因公出国（境）费</w:t>
            </w:r>
          </w:p>
        </w:tc>
        <w:tc>
          <w:tcPr>
            <w:tcW w:w="1037" w:type="pct"/>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公务用车购置及运行费</w:t>
            </w:r>
          </w:p>
        </w:tc>
        <w:tc>
          <w:tcPr>
            <w:tcW w:w="479"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49"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416"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73"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289"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公务用车购置费</w:t>
            </w:r>
          </w:p>
        </w:tc>
        <w:tc>
          <w:tcPr>
            <w:tcW w:w="373"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公务用车运行费</w:t>
            </w:r>
          </w:p>
        </w:tc>
        <w:tc>
          <w:tcPr>
            <w:tcW w:w="289"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73"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416"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73"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289"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公务用车购置费</w:t>
            </w:r>
          </w:p>
        </w:tc>
        <w:tc>
          <w:tcPr>
            <w:tcW w:w="373"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公务用车运行费</w:t>
            </w:r>
          </w:p>
        </w:tc>
        <w:tc>
          <w:tcPr>
            <w:tcW w:w="479"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49"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16"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373"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89"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373"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89"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373"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416"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373"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289"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373"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479"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4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1.35</w:t>
            </w:r>
          </w:p>
        </w:tc>
        <w:tc>
          <w:tcPr>
            <w:tcW w:w="41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73"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1.35</w:t>
            </w:r>
          </w:p>
        </w:tc>
        <w:tc>
          <w:tcPr>
            <w:tcW w:w="28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73"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1.35</w:t>
            </w:r>
          </w:p>
        </w:tc>
        <w:tc>
          <w:tcPr>
            <w:tcW w:w="28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73"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1.35</w:t>
            </w:r>
          </w:p>
        </w:tc>
        <w:tc>
          <w:tcPr>
            <w:tcW w:w="41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73"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1.35</w:t>
            </w:r>
          </w:p>
        </w:tc>
        <w:tc>
          <w:tcPr>
            <w:tcW w:w="28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73"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1.35</w:t>
            </w: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000" w:type="pct"/>
            <w:gridSpan w:val="12"/>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注：本表反映部门本年度“三公”经费支出预决算情况。其中，预算数为“三公”经费年初预算数；决算数是包括当年一般公共预算财政拨款和以前年度结转资金安排的实际支出。</w:t>
            </w:r>
          </w:p>
        </w:tc>
      </w:tr>
    </w:tbl>
    <w:p>
      <w:pPr>
        <w:rPr>
          <w:rFonts w:hint="eastAsia" w:ascii="仿宋_GB2312" w:hAnsi="仿宋_GB2312" w:eastAsia="仿宋_GB2312" w:cs="仿宋_GB2312"/>
          <w:sz w:val="32"/>
          <w:szCs w:val="32"/>
          <w:highlight w:val="none"/>
        </w:rPr>
        <w:sectPr>
          <w:pgSz w:w="16838" w:h="11906" w:orient="landscape"/>
          <w:pgMar w:top="2098" w:right="1474" w:bottom="1984" w:left="1587" w:header="720" w:footer="720" w:gutter="0"/>
          <w:pgNumType w:fmt="numberInDash"/>
          <w:cols w:space="720" w:num="1"/>
          <w:docGrid w:type="lines" w:linePitch="312" w:charSpace="0"/>
        </w:sect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95"/>
        <w:gridCol w:w="266"/>
        <w:gridCol w:w="272"/>
        <w:gridCol w:w="1327"/>
        <w:gridCol w:w="1281"/>
        <w:gridCol w:w="1281"/>
        <w:gridCol w:w="1281"/>
        <w:gridCol w:w="1281"/>
        <w:gridCol w:w="1282"/>
        <w:gridCol w:w="2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highlight w:val="none"/>
                <w:u w:val="none"/>
              </w:rPr>
            </w:pPr>
            <w:r>
              <w:rPr>
                <w:rFonts w:hint="eastAsia" w:ascii="宋体" w:hAnsi="宋体" w:eastAsia="宋体" w:cs="宋体"/>
                <w:i w:val="0"/>
                <w:iCs w:val="0"/>
                <w:color w:val="000000"/>
                <w:kern w:val="0"/>
                <w:sz w:val="30"/>
                <w:szCs w:val="30"/>
                <w:highlight w:val="none"/>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74" w:type="pct"/>
            <w:tcBorders>
              <w:top w:val="nil"/>
              <w:left w:val="nil"/>
              <w:bottom w:val="nil"/>
              <w:right w:val="nil"/>
            </w:tcBorders>
            <w:noWrap/>
            <w:vAlign w:val="bottom"/>
          </w:tcPr>
          <w:p>
            <w:pPr>
              <w:rPr>
                <w:rFonts w:hint="eastAsia" w:ascii="Arial" w:hAnsi="Arial" w:cs="Arial"/>
                <w:i w:val="0"/>
                <w:iCs w:val="0"/>
                <w:color w:val="000000"/>
                <w:sz w:val="20"/>
                <w:szCs w:val="20"/>
                <w:highlight w:val="none"/>
                <w:u w:val="none"/>
              </w:rPr>
            </w:pPr>
          </w:p>
        </w:tc>
        <w:tc>
          <w:tcPr>
            <w:tcW w:w="94"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94"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468"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452"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452"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452"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452"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452"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705" w:type="pct"/>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74" w:type="pct"/>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部门：中共许昌市建安区委宣传部</w:t>
            </w:r>
          </w:p>
        </w:tc>
        <w:tc>
          <w:tcPr>
            <w:tcW w:w="94"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94"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468"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452"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452"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452"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452"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452"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705" w:type="pct"/>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32"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452" w:type="pct"/>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年初结转和结余</w:t>
            </w:r>
          </w:p>
        </w:tc>
        <w:tc>
          <w:tcPr>
            <w:tcW w:w="452" w:type="pct"/>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本年收入</w:t>
            </w:r>
          </w:p>
        </w:tc>
        <w:tc>
          <w:tcPr>
            <w:tcW w:w="1356" w:type="pct"/>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本年支出</w:t>
            </w:r>
          </w:p>
        </w:tc>
        <w:tc>
          <w:tcPr>
            <w:tcW w:w="705" w:type="pct"/>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64" w:type="pct"/>
            <w:gridSpan w:val="3"/>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功能分类科目编码</w:t>
            </w:r>
          </w:p>
        </w:tc>
        <w:tc>
          <w:tcPr>
            <w:tcW w:w="468"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45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45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452"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452"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基本支出</w:t>
            </w:r>
          </w:p>
        </w:tc>
        <w:tc>
          <w:tcPr>
            <w:tcW w:w="452"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项目支出</w:t>
            </w:r>
          </w:p>
        </w:tc>
        <w:tc>
          <w:tcPr>
            <w:tcW w:w="70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64" w:type="pct"/>
            <w:gridSpan w:val="3"/>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468"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45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45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452"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452"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452"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0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64" w:type="pct"/>
            <w:gridSpan w:val="3"/>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468"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45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45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452"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452"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452"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0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32" w:type="pct"/>
            <w:gridSpan w:val="4"/>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45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5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5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45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5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70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32" w:type="pct"/>
            <w:gridSpan w:val="4"/>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45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highlight w:val="none"/>
                <w:u w:val="none"/>
              </w:rPr>
            </w:pPr>
          </w:p>
        </w:tc>
        <w:tc>
          <w:tcPr>
            <w:tcW w:w="45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highlight w:val="none"/>
                <w:u w:val="none"/>
              </w:rPr>
            </w:pPr>
          </w:p>
        </w:tc>
        <w:tc>
          <w:tcPr>
            <w:tcW w:w="45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highlight w:val="none"/>
                <w:u w:val="none"/>
              </w:rPr>
            </w:pPr>
          </w:p>
        </w:tc>
        <w:tc>
          <w:tcPr>
            <w:tcW w:w="45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highlight w:val="none"/>
                <w:u w:val="none"/>
              </w:rPr>
            </w:pPr>
          </w:p>
        </w:tc>
        <w:tc>
          <w:tcPr>
            <w:tcW w:w="45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highlight w:val="none"/>
                <w:u w:val="none"/>
              </w:rPr>
            </w:pPr>
          </w:p>
        </w:tc>
        <w:tc>
          <w:tcPr>
            <w:tcW w:w="70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64" w:type="pct"/>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468"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45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5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5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5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5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70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64" w:type="pct"/>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468"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45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5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5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5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5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70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64" w:type="pct"/>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468"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45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5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5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5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5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70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64" w:type="pct"/>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468"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45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5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5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5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5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70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64" w:type="pct"/>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468"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45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5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5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5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5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70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64" w:type="pct"/>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468"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45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5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5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5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5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70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注：本表反映部门本年度政府性基金预算财政拨款收入、支出及结转和结余情况。</w:t>
            </w:r>
          </w:p>
        </w:tc>
      </w:tr>
    </w:tbl>
    <w:p>
      <w:pPr>
        <w:jc w:val="cente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sz w:val="32"/>
          <w:szCs w:val="32"/>
          <w:highlight w:val="none"/>
        </w:rPr>
        <w:t>说明：我部门没有政府性基金收入，也没有使用政府性基金安排的支出，故本表无数据。</w:t>
      </w: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jc w:val="center"/>
        <w:outlineLvl w:val="0"/>
        <w:rPr>
          <w:rFonts w:hint="eastAsia" w:ascii="黑体" w:hAnsi="黑体" w:eastAsia="黑体" w:cs="黑体"/>
          <w:sz w:val="48"/>
          <w:szCs w:val="48"/>
          <w:highlight w:val="none"/>
        </w:rPr>
      </w:pPr>
      <w:r>
        <w:rPr>
          <w:rFonts w:hint="eastAsia" w:ascii="黑体" w:hAnsi="黑体" w:eastAsia="黑体" w:cs="黑体"/>
          <w:sz w:val="48"/>
          <w:szCs w:val="48"/>
          <w:highlight w:val="none"/>
        </w:rPr>
        <w:t>第三部分 2021年度部门决算情况说明</w:t>
      </w:r>
    </w:p>
    <w:p>
      <w:pPr>
        <w:widowControl/>
        <w:jc w:val="left"/>
        <w:rPr>
          <w:rFonts w:hint="eastAsia" w:ascii="黑体" w:hAnsi="黑体" w:eastAsia="黑体" w:cs="黑体"/>
          <w:sz w:val="48"/>
          <w:szCs w:val="48"/>
          <w:highlight w:val="none"/>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一、收入支出决算总体情况说明</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年度收、支总计均为</w:t>
      </w:r>
      <w:r>
        <w:rPr>
          <w:rFonts w:hint="eastAsia" w:ascii="仿宋_GB2312" w:hAnsi="仿宋_GB2312" w:eastAsia="仿宋_GB2312" w:cs="仿宋_GB2312"/>
          <w:sz w:val="32"/>
          <w:szCs w:val="32"/>
          <w:highlight w:val="none"/>
          <w:lang w:val="en-US" w:eastAsia="zh-CN"/>
        </w:rPr>
        <w:t>1154.25</w:t>
      </w:r>
      <w:r>
        <w:rPr>
          <w:rFonts w:hint="eastAsia" w:ascii="仿宋_GB2312" w:hAnsi="仿宋_GB2312" w:eastAsia="仿宋_GB2312" w:cs="仿宋_GB2312"/>
          <w:sz w:val="32"/>
          <w:szCs w:val="32"/>
          <w:highlight w:val="none"/>
        </w:rPr>
        <w:t>万元。与上年度相比，收、支总计各减少</w:t>
      </w:r>
      <w:r>
        <w:rPr>
          <w:rFonts w:hint="eastAsia" w:ascii="仿宋_GB2312" w:hAnsi="仿宋_GB2312" w:eastAsia="仿宋_GB2312" w:cs="仿宋_GB2312"/>
          <w:sz w:val="32"/>
          <w:szCs w:val="32"/>
          <w:highlight w:val="none"/>
          <w:lang w:val="en-US" w:eastAsia="zh-CN"/>
        </w:rPr>
        <w:t>42.62</w:t>
      </w:r>
      <w:r>
        <w:rPr>
          <w:rFonts w:hint="eastAsia" w:ascii="仿宋_GB2312" w:hAnsi="仿宋_GB2312" w:eastAsia="仿宋_GB2312" w:cs="仿宋_GB2312"/>
          <w:sz w:val="32"/>
          <w:szCs w:val="32"/>
          <w:highlight w:val="none"/>
        </w:rPr>
        <w:t>万元，下降</w:t>
      </w:r>
      <w:r>
        <w:rPr>
          <w:rFonts w:hint="eastAsia" w:ascii="仿宋_GB2312" w:hAnsi="仿宋_GB2312" w:eastAsia="仿宋_GB2312" w:cs="仿宋_GB2312"/>
          <w:sz w:val="32"/>
          <w:szCs w:val="32"/>
          <w:highlight w:val="none"/>
          <w:lang w:val="en-US" w:eastAsia="zh-CN"/>
        </w:rPr>
        <w:t>3.56</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。主要原因是2</w:t>
      </w:r>
      <w:r>
        <w:rPr>
          <w:rFonts w:ascii="仿宋_GB2312" w:hAnsi="仿宋_GB2312" w:eastAsia="仿宋_GB2312" w:cs="仿宋_GB2312"/>
          <w:sz w:val="32"/>
          <w:szCs w:val="32"/>
          <w:highlight w:val="none"/>
        </w:rPr>
        <w:t>02</w:t>
      </w:r>
      <w:r>
        <w:rPr>
          <w:rFonts w:hint="eastAsia" w:ascii="仿宋_GB2312" w:hAnsi="仿宋_GB2312" w:eastAsia="仿宋_GB2312" w:cs="仿宋_GB2312"/>
          <w:sz w:val="32"/>
          <w:szCs w:val="32"/>
          <w:highlight w:val="none"/>
          <w:lang w:val="en-US" w:eastAsia="zh-CN"/>
        </w:rPr>
        <w:t>1年人员经费减少，响应国家号召，压减经费支出</w:t>
      </w:r>
      <w:r>
        <w:rPr>
          <w:rFonts w:hint="eastAsia" w:ascii="仿宋_GB2312" w:hAnsi="仿宋_GB2312" w:eastAsia="仿宋_GB2312" w:cs="仿宋_GB2312"/>
          <w:sz w:val="32"/>
          <w:szCs w:val="32"/>
          <w:highlight w:val="none"/>
        </w:rPr>
        <w:t>。</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二、收入决算情况说明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sz w:val="32"/>
          <w:szCs w:val="32"/>
          <w:highlight w:val="none"/>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年度收入合计</w:t>
      </w:r>
      <w:r>
        <w:rPr>
          <w:rFonts w:hint="eastAsia" w:ascii="仿宋_GB2312" w:hAnsi="仿宋_GB2312" w:eastAsia="仿宋_GB2312" w:cs="仿宋_GB2312"/>
          <w:sz w:val="32"/>
          <w:szCs w:val="32"/>
          <w:highlight w:val="none"/>
          <w:lang w:val="en-US" w:eastAsia="zh-CN"/>
        </w:rPr>
        <w:t>1130.25</w:t>
      </w:r>
      <w:r>
        <w:rPr>
          <w:rFonts w:hint="eastAsia" w:ascii="仿宋_GB2312" w:hAnsi="仿宋_GB2312" w:eastAsia="仿宋_GB2312" w:cs="仿宋_GB2312"/>
          <w:sz w:val="32"/>
          <w:szCs w:val="32"/>
          <w:highlight w:val="none"/>
        </w:rPr>
        <w:t>万元，其中：财政拨款收入</w:t>
      </w:r>
      <w:r>
        <w:rPr>
          <w:rFonts w:hint="eastAsia" w:ascii="仿宋_GB2312" w:hAnsi="仿宋_GB2312" w:eastAsia="仿宋_GB2312" w:cs="仿宋_GB2312"/>
          <w:sz w:val="32"/>
          <w:szCs w:val="32"/>
          <w:highlight w:val="none"/>
          <w:lang w:val="en-US" w:eastAsia="zh-CN"/>
        </w:rPr>
        <w:t>1130.25</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100.00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highlight w:val="none"/>
          <w:lang w:val="en-US" w:eastAsia="zh-CN"/>
        </w:rPr>
        <w:t>上级补助收0.00万元，占0.00%；事业收入0.00万元，占0.00%；经营收入0.00万元，占0.00%；附属单位上缴收入0.00万元，占0.00%；其他收入0.00万元，占0.00%。</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三、支出决算情况说明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年度支出合计</w:t>
      </w:r>
      <w:r>
        <w:rPr>
          <w:rFonts w:hint="eastAsia" w:ascii="仿宋_GB2312" w:hAnsi="仿宋_GB2312" w:eastAsia="仿宋_GB2312" w:cs="仿宋_GB2312"/>
          <w:sz w:val="32"/>
          <w:szCs w:val="32"/>
          <w:highlight w:val="none"/>
          <w:lang w:val="en-US" w:eastAsia="zh-CN"/>
        </w:rPr>
        <w:t>1154.25</w:t>
      </w:r>
      <w:r>
        <w:rPr>
          <w:rFonts w:hint="eastAsia" w:ascii="仿宋_GB2312" w:hAnsi="仿宋_GB2312" w:eastAsia="仿宋_GB2312" w:cs="仿宋_GB2312"/>
          <w:sz w:val="32"/>
          <w:szCs w:val="32"/>
          <w:highlight w:val="none"/>
        </w:rPr>
        <w:t>万元，其中：基本支出</w:t>
      </w:r>
      <w:r>
        <w:rPr>
          <w:rFonts w:hint="eastAsia" w:ascii="仿宋_GB2312" w:hAnsi="仿宋_GB2312" w:eastAsia="仿宋_GB2312" w:cs="仿宋_GB2312"/>
          <w:sz w:val="32"/>
          <w:szCs w:val="32"/>
          <w:highlight w:val="none"/>
          <w:lang w:val="en-US" w:eastAsia="zh-CN"/>
        </w:rPr>
        <w:t>1007.10</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87.25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highlight w:val="none"/>
          <w:lang w:val="en-US" w:eastAsia="zh-CN"/>
        </w:rPr>
        <w:t>项目支出147.15万元，占12.75%；上缴上级支出0.00万元，占0.00%；经营支出0.00万元，占0.00%；对附属单位补助支出0.00万元，占0.00%。</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四、财政拨款收入支出决算总体情况说明</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年度财政拨款收、支总计均为</w:t>
      </w:r>
      <w:r>
        <w:rPr>
          <w:rFonts w:hint="eastAsia" w:ascii="仿宋_GB2312" w:hAnsi="仿宋_GB2312" w:eastAsia="仿宋_GB2312" w:cs="仿宋_GB2312"/>
          <w:sz w:val="32"/>
          <w:szCs w:val="32"/>
          <w:highlight w:val="none"/>
          <w:lang w:val="en-US" w:eastAsia="zh-CN"/>
        </w:rPr>
        <w:t>1154.25</w:t>
      </w:r>
      <w:r>
        <w:rPr>
          <w:rFonts w:hint="eastAsia" w:ascii="仿宋_GB2312" w:hAnsi="仿宋_GB2312" w:eastAsia="仿宋_GB2312" w:cs="仿宋_GB2312"/>
          <w:sz w:val="32"/>
          <w:szCs w:val="32"/>
          <w:highlight w:val="none"/>
        </w:rPr>
        <w:t>万元。与上年度相比，财政拨款收、支总计各减少</w:t>
      </w:r>
      <w:r>
        <w:rPr>
          <w:rFonts w:hint="eastAsia" w:ascii="仿宋_GB2312" w:hAnsi="仿宋_GB2312" w:eastAsia="仿宋_GB2312" w:cs="仿宋_GB2312"/>
          <w:sz w:val="32"/>
          <w:szCs w:val="32"/>
          <w:highlight w:val="none"/>
          <w:lang w:val="en-US" w:eastAsia="zh-CN"/>
        </w:rPr>
        <w:t>42.62</w:t>
      </w:r>
      <w:r>
        <w:rPr>
          <w:rFonts w:hint="eastAsia" w:ascii="仿宋_GB2312" w:hAnsi="仿宋_GB2312" w:eastAsia="仿宋_GB2312" w:cs="仿宋_GB2312"/>
          <w:sz w:val="32"/>
          <w:szCs w:val="32"/>
          <w:highlight w:val="none"/>
        </w:rPr>
        <w:t>万元，下降</w:t>
      </w:r>
      <w:r>
        <w:rPr>
          <w:rFonts w:hint="eastAsia" w:ascii="仿宋_GB2312" w:hAnsi="仿宋_GB2312" w:eastAsia="仿宋_GB2312" w:cs="仿宋_GB2312"/>
          <w:sz w:val="32"/>
          <w:szCs w:val="32"/>
          <w:highlight w:val="none"/>
          <w:lang w:val="en-US" w:eastAsia="zh-CN"/>
        </w:rPr>
        <w:t>3.56</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。主要原因是2</w:t>
      </w:r>
      <w:r>
        <w:rPr>
          <w:rFonts w:ascii="仿宋_GB2312" w:hAnsi="仿宋_GB2312" w:eastAsia="仿宋_GB2312" w:cs="仿宋_GB2312"/>
          <w:sz w:val="32"/>
          <w:szCs w:val="32"/>
          <w:highlight w:val="none"/>
        </w:rPr>
        <w:t>02</w:t>
      </w:r>
      <w:r>
        <w:rPr>
          <w:rFonts w:hint="eastAsia" w:ascii="仿宋_GB2312" w:hAnsi="仿宋_GB2312" w:eastAsia="仿宋_GB2312" w:cs="仿宋_GB2312"/>
          <w:sz w:val="32"/>
          <w:szCs w:val="32"/>
          <w:highlight w:val="none"/>
          <w:lang w:val="en-US" w:eastAsia="zh-CN"/>
        </w:rPr>
        <w:t>1年人员经费减少，响应国家号召，压减经费支出</w:t>
      </w:r>
      <w:r>
        <w:rPr>
          <w:rFonts w:hint="eastAsia" w:ascii="仿宋_GB2312" w:hAnsi="仿宋_GB2312" w:eastAsia="仿宋_GB2312" w:cs="仿宋_GB2312"/>
          <w:sz w:val="32"/>
          <w:szCs w:val="32"/>
          <w:highlight w:val="none"/>
        </w:rPr>
        <w:t>。</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五、一般公共预算财政拨款支出决算情况说明</w:t>
      </w:r>
    </w:p>
    <w:p>
      <w:pPr>
        <w:widowControl/>
        <w:spacing w:line="590" w:lineRule="exact"/>
        <w:ind w:firstLine="643" w:firstLineChars="20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（一）总体情况。</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年度一般公共预算财政拨款支出</w:t>
      </w:r>
      <w:r>
        <w:rPr>
          <w:rFonts w:hint="eastAsia" w:ascii="仿宋_GB2312" w:hAnsi="仿宋_GB2312" w:eastAsia="仿宋_GB2312" w:cs="仿宋_GB2312"/>
          <w:sz w:val="32"/>
          <w:szCs w:val="32"/>
          <w:highlight w:val="none"/>
          <w:lang w:val="en-US" w:eastAsia="zh-CN"/>
        </w:rPr>
        <w:t>1154.25</w:t>
      </w:r>
      <w:r>
        <w:rPr>
          <w:rFonts w:hint="eastAsia" w:ascii="仿宋_GB2312" w:hAnsi="仿宋_GB2312" w:eastAsia="仿宋_GB2312" w:cs="仿宋_GB2312"/>
          <w:sz w:val="32"/>
          <w:szCs w:val="32"/>
          <w:highlight w:val="none"/>
        </w:rPr>
        <w:t>万元，占支出合计的</w:t>
      </w:r>
      <w:r>
        <w:rPr>
          <w:rFonts w:hint="eastAsia" w:ascii="仿宋_GB2312" w:hAnsi="仿宋_GB2312" w:eastAsia="仿宋_GB2312" w:cs="仿宋_GB2312"/>
          <w:sz w:val="32"/>
          <w:szCs w:val="32"/>
          <w:highlight w:val="none"/>
          <w:lang w:val="en-US" w:eastAsia="zh-CN"/>
        </w:rPr>
        <w:t>100.00</w:t>
      </w:r>
      <w:r>
        <w:rPr>
          <w:rFonts w:hint="eastAsia" w:ascii="仿宋_GB2312" w:hAnsi="仿宋_GB2312" w:eastAsia="仿宋_GB2312" w:cs="仿宋_GB2312"/>
          <w:sz w:val="32"/>
          <w:szCs w:val="32"/>
          <w:highlight w:val="none"/>
        </w:rPr>
        <w:t>%。与上年度相比，一般公共预算财政拨款支出减少</w:t>
      </w:r>
      <w:r>
        <w:rPr>
          <w:rFonts w:hint="eastAsia" w:ascii="仿宋_GB2312" w:hAnsi="仿宋_GB2312" w:eastAsia="仿宋_GB2312" w:cs="仿宋_GB2312"/>
          <w:sz w:val="32"/>
          <w:szCs w:val="32"/>
          <w:highlight w:val="none"/>
          <w:lang w:val="en-US" w:eastAsia="zh-CN"/>
        </w:rPr>
        <w:t>17.41</w:t>
      </w:r>
      <w:r>
        <w:rPr>
          <w:rFonts w:hint="eastAsia" w:ascii="仿宋_GB2312" w:hAnsi="仿宋_GB2312" w:eastAsia="仿宋_GB2312" w:cs="仿宋_GB2312"/>
          <w:sz w:val="32"/>
          <w:szCs w:val="32"/>
          <w:highlight w:val="none"/>
        </w:rPr>
        <w:t>万元，下降</w:t>
      </w:r>
      <w:r>
        <w:rPr>
          <w:rFonts w:hint="eastAsia" w:ascii="仿宋_GB2312" w:hAnsi="仿宋_GB2312" w:eastAsia="仿宋_GB2312" w:cs="仿宋_GB2312"/>
          <w:sz w:val="32"/>
          <w:szCs w:val="32"/>
          <w:highlight w:val="none"/>
          <w:lang w:val="en-US" w:eastAsia="zh-CN"/>
        </w:rPr>
        <w:t>1.49</w:t>
      </w:r>
      <w:r>
        <w:rPr>
          <w:rFonts w:hint="eastAsia" w:ascii="仿宋_GB2312" w:hAnsi="仿宋_GB2312" w:eastAsia="仿宋_GB2312" w:cs="仿宋_GB2312"/>
          <w:sz w:val="32"/>
          <w:szCs w:val="32"/>
          <w:highlight w:val="none"/>
        </w:rPr>
        <w:t>%。主要原因是2</w:t>
      </w:r>
      <w:r>
        <w:rPr>
          <w:rFonts w:ascii="仿宋_GB2312" w:hAnsi="仿宋_GB2312" w:eastAsia="仿宋_GB2312" w:cs="仿宋_GB2312"/>
          <w:sz w:val="32"/>
          <w:szCs w:val="32"/>
          <w:highlight w:val="none"/>
        </w:rPr>
        <w:t>02</w:t>
      </w:r>
      <w:r>
        <w:rPr>
          <w:rFonts w:hint="eastAsia" w:ascii="仿宋_GB2312" w:hAnsi="仿宋_GB2312" w:eastAsia="仿宋_GB2312" w:cs="仿宋_GB2312"/>
          <w:sz w:val="32"/>
          <w:szCs w:val="32"/>
          <w:highlight w:val="none"/>
          <w:lang w:val="en-US" w:eastAsia="zh-CN"/>
        </w:rPr>
        <w:t>1年人员经费减少，响应国家号召，压减经费支出</w:t>
      </w:r>
      <w:r>
        <w:rPr>
          <w:rFonts w:hint="eastAsia" w:ascii="仿宋_GB2312" w:hAnsi="仿宋_GB2312" w:eastAsia="仿宋_GB2312" w:cs="仿宋_GB2312"/>
          <w:sz w:val="32"/>
          <w:szCs w:val="32"/>
          <w:highlight w:val="none"/>
        </w:rPr>
        <w:t>。</w:t>
      </w:r>
    </w:p>
    <w:p>
      <w:pPr>
        <w:widowControl/>
        <w:spacing w:line="590" w:lineRule="exact"/>
        <w:ind w:firstLine="643" w:firstLineChars="20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（二）结构情况。</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年度一般公共预算财政拨款支出</w:t>
      </w:r>
      <w:r>
        <w:rPr>
          <w:rFonts w:hint="eastAsia" w:ascii="仿宋_GB2312" w:hAnsi="仿宋_GB2312" w:eastAsia="仿宋_GB2312" w:cs="仿宋_GB2312"/>
          <w:sz w:val="32"/>
          <w:szCs w:val="32"/>
          <w:highlight w:val="none"/>
          <w:lang w:val="en-US" w:eastAsia="zh-CN"/>
        </w:rPr>
        <w:t>1154.25</w:t>
      </w:r>
      <w:r>
        <w:rPr>
          <w:rFonts w:hint="eastAsia" w:ascii="仿宋_GB2312" w:hAnsi="仿宋_GB2312" w:eastAsia="仿宋_GB2312" w:cs="仿宋_GB2312"/>
          <w:sz w:val="32"/>
          <w:szCs w:val="32"/>
          <w:highlight w:val="none"/>
        </w:rPr>
        <w:t>万元，主要用于以下方面：一般公共服务（类）支出</w:t>
      </w:r>
      <w:r>
        <w:rPr>
          <w:rFonts w:hint="eastAsia" w:ascii="仿宋_GB2312" w:hAnsi="仿宋_GB2312" w:eastAsia="仿宋_GB2312" w:cs="仿宋_GB2312"/>
          <w:sz w:val="32"/>
          <w:szCs w:val="32"/>
          <w:highlight w:val="none"/>
          <w:lang w:val="en-US" w:eastAsia="zh-CN"/>
        </w:rPr>
        <w:t>1139.90</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98.76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社会和就业（类）支出</w:t>
      </w:r>
      <w:r>
        <w:rPr>
          <w:rFonts w:hint="eastAsia" w:ascii="仿宋_GB2312" w:hAnsi="仿宋_GB2312" w:eastAsia="仿宋_GB2312" w:cs="仿宋_GB2312"/>
          <w:sz w:val="32"/>
          <w:szCs w:val="32"/>
          <w:highlight w:val="none"/>
          <w:lang w:val="en-US" w:eastAsia="zh-CN"/>
        </w:rPr>
        <w:t>14.35</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1.24</w:t>
      </w:r>
      <w:r>
        <w:rPr>
          <w:rFonts w:hint="eastAsia" w:ascii="仿宋_GB2312" w:hAnsi="仿宋_GB2312" w:eastAsia="仿宋_GB2312" w:cs="仿宋_GB2312"/>
          <w:sz w:val="32"/>
          <w:szCs w:val="32"/>
          <w:highlight w:val="none"/>
        </w:rPr>
        <w:t>%。</w:t>
      </w:r>
    </w:p>
    <w:p>
      <w:pPr>
        <w:widowControl/>
        <w:spacing w:line="590" w:lineRule="exact"/>
        <w:ind w:firstLine="643" w:firstLineChars="20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（三）具体情况。</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年度一般公共预算财政拨款支出</w:t>
      </w:r>
      <w:r>
        <w:rPr>
          <w:rFonts w:hint="eastAsia" w:ascii="仿宋_GB2312" w:hAnsi="仿宋_GB2312" w:eastAsia="仿宋_GB2312" w:cs="仿宋_GB2312"/>
          <w:sz w:val="32"/>
          <w:szCs w:val="32"/>
          <w:highlight w:val="none"/>
          <w:lang w:eastAsia="zh-CN"/>
        </w:rPr>
        <w:t>年初</w:t>
      </w:r>
      <w:r>
        <w:rPr>
          <w:rFonts w:hint="eastAsia" w:ascii="仿宋_GB2312" w:hAnsi="仿宋_GB2312" w:eastAsia="仿宋_GB2312" w:cs="仿宋_GB2312"/>
          <w:sz w:val="32"/>
          <w:szCs w:val="32"/>
          <w:highlight w:val="none"/>
        </w:rPr>
        <w:t>预算为</w:t>
      </w:r>
      <w:r>
        <w:rPr>
          <w:rFonts w:hint="eastAsia" w:ascii="仿宋_GB2312" w:hAnsi="仿宋_GB2312" w:eastAsia="仿宋_GB2312" w:cs="仿宋_GB2312"/>
          <w:sz w:val="32"/>
          <w:szCs w:val="32"/>
          <w:highlight w:val="none"/>
          <w:lang w:val="en-US" w:eastAsia="zh-CN"/>
        </w:rPr>
        <w:t>1141.64</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1154.25</w:t>
      </w:r>
      <w:r>
        <w:rPr>
          <w:rFonts w:hint="eastAsia" w:ascii="仿宋_GB2312" w:hAnsi="仿宋_GB2312" w:eastAsia="仿宋_GB2312" w:cs="仿宋_GB2312"/>
          <w:sz w:val="32"/>
          <w:szCs w:val="32"/>
          <w:highlight w:val="none"/>
        </w:rPr>
        <w:t>万元，完成</w:t>
      </w:r>
      <w:r>
        <w:rPr>
          <w:rFonts w:hint="eastAsia" w:ascii="仿宋_GB2312" w:hAnsi="仿宋_GB2312" w:eastAsia="仿宋_GB2312" w:cs="仿宋_GB2312"/>
          <w:sz w:val="32"/>
          <w:szCs w:val="32"/>
          <w:highlight w:val="none"/>
          <w:lang w:eastAsia="zh-CN"/>
        </w:rPr>
        <w:t>年初</w:t>
      </w:r>
      <w:r>
        <w:rPr>
          <w:rFonts w:hint="eastAsia" w:ascii="仿宋_GB2312" w:hAnsi="仿宋_GB2312" w:eastAsia="仿宋_GB2312" w:cs="仿宋_GB2312"/>
          <w:sz w:val="32"/>
          <w:szCs w:val="32"/>
          <w:highlight w:val="none"/>
        </w:rPr>
        <w:t>预算的</w:t>
      </w:r>
      <w:r>
        <w:rPr>
          <w:rFonts w:hint="eastAsia" w:ascii="仿宋_GB2312" w:hAnsi="仿宋_GB2312" w:eastAsia="仿宋_GB2312" w:cs="仿宋_GB2312"/>
          <w:sz w:val="32"/>
          <w:szCs w:val="32"/>
          <w:highlight w:val="none"/>
          <w:lang w:val="en-US" w:eastAsia="zh-CN"/>
        </w:rPr>
        <w:t>101.10</w:t>
      </w:r>
      <w:r>
        <w:rPr>
          <w:rFonts w:hint="eastAsia" w:ascii="仿宋_GB2312" w:hAnsi="仿宋_GB2312" w:eastAsia="仿宋_GB2312" w:cs="仿宋_GB2312"/>
          <w:sz w:val="32"/>
          <w:szCs w:val="32"/>
          <w:highlight w:val="none"/>
        </w:rPr>
        <w:t>%。其中：</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rPr>
        <w:t>．一般公共服务支出（类）宣传事务（款）行政运行（项）。</w:t>
      </w:r>
      <w:r>
        <w:rPr>
          <w:rFonts w:hint="eastAsia" w:ascii="仿宋_GB2312" w:hAnsi="仿宋_GB2312" w:eastAsia="仿宋_GB2312" w:cs="仿宋_GB2312"/>
          <w:sz w:val="32"/>
          <w:szCs w:val="32"/>
          <w:highlight w:val="none"/>
        </w:rPr>
        <w:t>年初预算为</w:t>
      </w:r>
      <w:r>
        <w:rPr>
          <w:rFonts w:hint="eastAsia" w:ascii="仿宋_GB2312" w:hAnsi="仿宋_GB2312" w:eastAsia="仿宋_GB2312" w:cs="仿宋_GB2312"/>
          <w:sz w:val="32"/>
          <w:szCs w:val="32"/>
          <w:highlight w:val="none"/>
          <w:lang w:val="en-US" w:eastAsia="zh-CN"/>
        </w:rPr>
        <w:t>669.67</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880.35</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131.46</w:t>
      </w:r>
      <w:r>
        <w:rPr>
          <w:rFonts w:hint="eastAsia" w:ascii="仿宋_GB2312" w:hAnsi="仿宋_GB2312" w:eastAsia="仿宋_GB2312" w:cs="仿宋_GB2312"/>
          <w:sz w:val="32"/>
          <w:szCs w:val="32"/>
          <w:highlight w:val="none"/>
        </w:rPr>
        <w:t>%。决算数与年初预算数存在差异的主要原因是</w:t>
      </w:r>
      <w:r>
        <w:rPr>
          <w:rFonts w:hint="eastAsia" w:ascii="仿宋_GB2312" w:hAnsi="仿宋_GB2312" w:eastAsia="仿宋_GB2312" w:cs="仿宋_GB2312"/>
          <w:sz w:val="32"/>
          <w:szCs w:val="32"/>
          <w:highlight w:val="none"/>
          <w:lang w:val="en-US" w:eastAsia="zh-CN"/>
        </w:rPr>
        <w:t>2021年因年中养老医保基数调高</w:t>
      </w:r>
      <w:r>
        <w:rPr>
          <w:rFonts w:hint="eastAsia" w:ascii="仿宋_GB2312" w:hAnsi="仿宋_GB2312" w:eastAsia="仿宋_GB2312" w:cs="仿宋_GB2312"/>
          <w:sz w:val="32"/>
          <w:szCs w:val="32"/>
          <w:highlight w:val="none"/>
        </w:rPr>
        <w:t>。</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rPr>
        <w:t>．一般公共服务支出（类）宣传事务（款）事业运行（项）。</w:t>
      </w:r>
      <w:r>
        <w:rPr>
          <w:rFonts w:hint="eastAsia" w:ascii="仿宋_GB2312" w:hAnsi="仿宋_GB2312" w:eastAsia="仿宋_GB2312" w:cs="仿宋_GB2312"/>
          <w:sz w:val="32"/>
          <w:szCs w:val="32"/>
          <w:highlight w:val="none"/>
        </w:rPr>
        <w:t>年初预算为202.48万元，支出决算为</w:t>
      </w:r>
      <w:r>
        <w:rPr>
          <w:rFonts w:hint="eastAsia" w:ascii="仿宋_GB2312" w:hAnsi="仿宋_GB2312" w:eastAsia="仿宋_GB2312" w:cs="仿宋_GB2312"/>
          <w:sz w:val="32"/>
          <w:szCs w:val="32"/>
          <w:highlight w:val="none"/>
          <w:lang w:val="en-US" w:eastAsia="zh-CN"/>
        </w:rPr>
        <w:t>235.56</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116.34</w:t>
      </w:r>
      <w:r>
        <w:rPr>
          <w:rFonts w:hint="eastAsia" w:ascii="仿宋_GB2312" w:hAnsi="仿宋_GB2312" w:eastAsia="仿宋_GB2312" w:cs="仿宋_GB2312"/>
          <w:sz w:val="32"/>
          <w:szCs w:val="32"/>
          <w:highlight w:val="none"/>
        </w:rPr>
        <w:t>%。决算数与年初预算数存在差异的主要原因是</w:t>
      </w:r>
      <w:r>
        <w:rPr>
          <w:rFonts w:hint="eastAsia" w:ascii="仿宋_GB2312" w:hAnsi="仿宋_GB2312" w:eastAsia="仿宋_GB2312" w:cs="仿宋_GB2312"/>
          <w:sz w:val="32"/>
          <w:szCs w:val="32"/>
          <w:highlight w:val="none"/>
          <w:lang w:val="en-US" w:eastAsia="zh-CN"/>
        </w:rPr>
        <w:t>2021年因年中养老医保基数调高</w:t>
      </w:r>
      <w:r>
        <w:rPr>
          <w:rFonts w:hint="eastAsia" w:ascii="仿宋_GB2312" w:hAnsi="仿宋_GB2312" w:eastAsia="仿宋_GB2312" w:cs="仿宋_GB2312"/>
          <w:sz w:val="32"/>
          <w:szCs w:val="32"/>
          <w:highlight w:val="none"/>
        </w:rPr>
        <w:t>。</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rPr>
        <w:t>．一般公共服务支出（类）宣传事务（款）其他宣传事务支出（项）。</w:t>
      </w:r>
      <w:r>
        <w:rPr>
          <w:rFonts w:hint="eastAsia" w:ascii="仿宋_GB2312" w:hAnsi="仿宋_GB2312" w:eastAsia="仿宋_GB2312" w:cs="仿宋_GB2312"/>
          <w:sz w:val="32"/>
          <w:szCs w:val="32"/>
          <w:highlight w:val="none"/>
        </w:rPr>
        <w:t>年初预算为</w:t>
      </w:r>
      <w:r>
        <w:rPr>
          <w:rFonts w:hint="eastAsia" w:ascii="仿宋_GB2312" w:hAnsi="仿宋_GB2312" w:eastAsia="仿宋_GB2312" w:cs="仿宋_GB2312"/>
          <w:sz w:val="32"/>
          <w:szCs w:val="32"/>
          <w:highlight w:val="none"/>
          <w:lang w:val="en-US" w:eastAsia="zh-CN"/>
        </w:rPr>
        <w:t>257.36</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24.00</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9.33%。</w:t>
      </w:r>
      <w:r>
        <w:rPr>
          <w:rFonts w:hint="eastAsia" w:ascii="仿宋_GB2312" w:hAnsi="仿宋_GB2312" w:eastAsia="仿宋_GB2312" w:cs="仿宋_GB2312"/>
          <w:sz w:val="32"/>
          <w:szCs w:val="32"/>
          <w:highlight w:val="none"/>
        </w:rPr>
        <w:t>决算数与年初预算数存在差异的主要原因是</w:t>
      </w:r>
      <w:r>
        <w:rPr>
          <w:rFonts w:hint="eastAsia" w:ascii="仿宋_GB2312" w:hAnsi="仿宋_GB2312" w:eastAsia="仿宋_GB2312" w:cs="仿宋_GB2312"/>
          <w:sz w:val="32"/>
          <w:szCs w:val="32"/>
          <w:highlight w:val="none"/>
          <w:lang w:val="en-US" w:eastAsia="zh-CN"/>
        </w:rPr>
        <w:t>该项目资金属于临时性支出</w:t>
      </w:r>
      <w:r>
        <w:rPr>
          <w:rFonts w:hint="eastAsia" w:ascii="仿宋_GB2312" w:hAnsi="仿宋_GB2312" w:eastAsia="仿宋_GB2312" w:cs="仿宋_GB2312"/>
          <w:sz w:val="32"/>
          <w:szCs w:val="32"/>
          <w:highlight w:val="none"/>
        </w:rPr>
        <w:t>。</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rPr>
        <w:t>．社会保障和就业支出（类）行政事业单位养老支出（款）行政单位离退休（项）。</w:t>
      </w:r>
      <w:r>
        <w:rPr>
          <w:rFonts w:hint="eastAsia" w:ascii="仿宋_GB2312" w:hAnsi="仿宋_GB2312" w:eastAsia="仿宋_GB2312" w:cs="仿宋_GB2312"/>
          <w:sz w:val="32"/>
          <w:szCs w:val="32"/>
          <w:highlight w:val="none"/>
        </w:rPr>
        <w:t>年初预算为</w:t>
      </w:r>
      <w:r>
        <w:rPr>
          <w:rFonts w:hint="eastAsia" w:ascii="仿宋_GB2312" w:hAnsi="仿宋_GB2312" w:eastAsia="仿宋_GB2312" w:cs="仿宋_GB2312"/>
          <w:sz w:val="32"/>
          <w:szCs w:val="32"/>
          <w:highlight w:val="none"/>
          <w:lang w:val="en-US" w:eastAsia="zh-CN"/>
        </w:rPr>
        <w:t>12.00</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14.12</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117.67</w:t>
      </w:r>
      <w:r>
        <w:rPr>
          <w:rFonts w:hint="eastAsia" w:ascii="仿宋_GB2312" w:hAnsi="仿宋_GB2312" w:eastAsia="仿宋_GB2312" w:cs="仿宋_GB2312"/>
          <w:sz w:val="32"/>
          <w:szCs w:val="32"/>
          <w:highlight w:val="none"/>
        </w:rPr>
        <w:t>%。决算数与年初预算数存在差异的主要原因是2</w:t>
      </w:r>
      <w:r>
        <w:rPr>
          <w:rFonts w:ascii="仿宋_GB2312" w:hAnsi="仿宋_GB2312" w:eastAsia="仿宋_GB2312" w:cs="仿宋_GB2312"/>
          <w:sz w:val="32"/>
          <w:szCs w:val="32"/>
          <w:highlight w:val="none"/>
        </w:rPr>
        <w:t>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w:t>
      </w:r>
      <w:r>
        <w:rPr>
          <w:rFonts w:ascii="仿宋_GB2312" w:hAnsi="仿宋_GB2312" w:eastAsia="仿宋_GB2312" w:cs="仿宋_GB2312"/>
          <w:sz w:val="32"/>
          <w:szCs w:val="32"/>
          <w:highlight w:val="none"/>
        </w:rPr>
        <w:t>退休人员</w:t>
      </w:r>
      <w:r>
        <w:rPr>
          <w:rFonts w:hint="eastAsia" w:ascii="仿宋_GB2312" w:hAnsi="仿宋_GB2312" w:eastAsia="仿宋_GB2312" w:cs="仿宋_GB2312"/>
          <w:sz w:val="32"/>
          <w:szCs w:val="32"/>
          <w:highlight w:val="none"/>
          <w:lang w:eastAsia="zh-CN"/>
        </w:rPr>
        <w:t>增加</w:t>
      </w:r>
      <w:r>
        <w:rPr>
          <w:rFonts w:hint="eastAsia" w:ascii="仿宋_GB2312" w:hAnsi="仿宋_GB2312" w:eastAsia="仿宋_GB2312" w:cs="仿宋_GB2312"/>
          <w:sz w:val="32"/>
          <w:szCs w:val="32"/>
          <w:highlight w:val="none"/>
        </w:rPr>
        <w:t>。</w:t>
      </w:r>
      <w:bookmarkStart w:id="0" w:name="_GoBack"/>
      <w:bookmarkEnd w:id="0"/>
    </w:p>
    <w:p>
      <w:pPr>
        <w:widowControl/>
        <w:spacing w:line="590" w:lineRule="exact"/>
        <w:ind w:firstLine="643" w:firstLineChars="200"/>
        <w:rPr>
          <w:rFonts w:hint="eastAsia" w:ascii="黑体" w:hAnsi="黑体" w:eastAsia="黑体" w:cs="黑体"/>
          <w:sz w:val="32"/>
          <w:szCs w:val="32"/>
          <w:highlight w:val="none"/>
        </w:rPr>
      </w:pPr>
      <w:r>
        <w:rPr>
          <w:rFonts w:hint="eastAsia" w:ascii="仿宋_GB2312" w:hAnsi="仿宋_GB2312" w:eastAsia="仿宋_GB2312" w:cs="仿宋_GB2312"/>
          <w:b/>
          <w:bCs/>
          <w:sz w:val="32"/>
          <w:szCs w:val="32"/>
          <w:highlight w:val="none"/>
          <w:lang w:val="en-US" w:eastAsia="zh-CN"/>
        </w:rPr>
        <w:t>5</w:t>
      </w:r>
      <w:r>
        <w:rPr>
          <w:rFonts w:hint="eastAsia" w:ascii="仿宋_GB2312" w:hAnsi="仿宋_GB2312" w:eastAsia="仿宋_GB2312" w:cs="仿宋_GB2312"/>
          <w:b/>
          <w:bCs/>
          <w:sz w:val="32"/>
          <w:szCs w:val="32"/>
          <w:highlight w:val="none"/>
        </w:rPr>
        <w:t>．社会保障和就业支出（类）行政事业单位养老支出（款）</w:t>
      </w:r>
      <w:r>
        <w:rPr>
          <w:rFonts w:hint="eastAsia" w:ascii="仿宋_GB2312" w:hAnsi="仿宋_GB2312" w:eastAsia="仿宋_GB2312" w:cs="仿宋_GB2312"/>
          <w:b/>
          <w:bCs/>
          <w:sz w:val="32"/>
          <w:szCs w:val="32"/>
          <w:highlight w:val="none"/>
          <w:lang w:eastAsia="zh-CN"/>
        </w:rPr>
        <w:t>事业</w:t>
      </w:r>
      <w:r>
        <w:rPr>
          <w:rFonts w:hint="eastAsia" w:ascii="仿宋_GB2312" w:hAnsi="仿宋_GB2312" w:eastAsia="仿宋_GB2312" w:cs="仿宋_GB2312"/>
          <w:b/>
          <w:bCs/>
          <w:sz w:val="32"/>
          <w:szCs w:val="32"/>
          <w:highlight w:val="none"/>
        </w:rPr>
        <w:t>单位离退休（项）。</w:t>
      </w:r>
      <w:r>
        <w:rPr>
          <w:rFonts w:hint="eastAsia" w:ascii="仿宋_GB2312" w:hAnsi="仿宋_GB2312" w:eastAsia="仿宋_GB2312" w:cs="仿宋_GB2312"/>
          <w:sz w:val="32"/>
          <w:szCs w:val="32"/>
          <w:highlight w:val="none"/>
        </w:rPr>
        <w:t>年初预算为</w:t>
      </w:r>
      <w:r>
        <w:rPr>
          <w:rFonts w:hint="eastAsia" w:ascii="仿宋_GB2312" w:hAnsi="仿宋_GB2312" w:eastAsia="仿宋_GB2312" w:cs="仿宋_GB2312"/>
          <w:sz w:val="32"/>
          <w:szCs w:val="32"/>
          <w:highlight w:val="none"/>
          <w:lang w:val="en-US" w:eastAsia="zh-CN"/>
        </w:rPr>
        <w:t>0.13</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0.23</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完成年初预算</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lang w:val="en-US" w:eastAsia="zh-CN"/>
        </w:rPr>
        <w:t>176.92</w:t>
      </w:r>
      <w:r>
        <w:rPr>
          <w:rFonts w:hint="eastAsia" w:ascii="仿宋_GB2312" w:hAnsi="仿宋_GB2312" w:eastAsia="仿宋_GB2312" w:cs="仿宋_GB2312"/>
          <w:sz w:val="32"/>
          <w:szCs w:val="32"/>
          <w:highlight w:val="none"/>
        </w:rPr>
        <w:t>%。决算数与年初预算数存在差异的主要原因是2</w:t>
      </w:r>
      <w:r>
        <w:rPr>
          <w:rFonts w:ascii="仿宋_GB2312" w:hAnsi="仿宋_GB2312" w:eastAsia="仿宋_GB2312" w:cs="仿宋_GB2312"/>
          <w:sz w:val="32"/>
          <w:szCs w:val="32"/>
          <w:highlight w:val="none"/>
        </w:rPr>
        <w:t>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新增</w:t>
      </w:r>
      <w:r>
        <w:rPr>
          <w:rFonts w:ascii="仿宋_GB2312" w:hAnsi="仿宋_GB2312" w:eastAsia="仿宋_GB2312" w:cs="仿宋_GB2312"/>
          <w:sz w:val="32"/>
          <w:szCs w:val="32"/>
          <w:highlight w:val="none"/>
        </w:rPr>
        <w:t>退休人员</w:t>
      </w:r>
      <w:r>
        <w:rPr>
          <w:rFonts w:hint="eastAsia" w:ascii="仿宋_GB2312" w:hAnsi="仿宋_GB2312" w:eastAsia="仿宋_GB2312" w:cs="仿宋_GB2312"/>
          <w:sz w:val="32"/>
          <w:szCs w:val="32"/>
          <w:highlight w:val="none"/>
        </w:rPr>
        <w:t>。</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六、一般公共预算财政拨款基本支出决算情况说明</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年度一般公共预算财政拨款基本支出</w:t>
      </w:r>
      <w:r>
        <w:rPr>
          <w:rFonts w:hint="eastAsia" w:ascii="仿宋_GB2312" w:hAnsi="仿宋_GB2312" w:eastAsia="仿宋_GB2312" w:cs="仿宋_GB2312"/>
          <w:sz w:val="32"/>
          <w:szCs w:val="32"/>
          <w:highlight w:val="none"/>
          <w:lang w:val="en-US" w:eastAsia="zh-CN"/>
        </w:rPr>
        <w:t>1007.10</w:t>
      </w:r>
      <w:r>
        <w:rPr>
          <w:rFonts w:hint="eastAsia" w:ascii="仿宋_GB2312" w:hAnsi="仿宋_GB2312" w:eastAsia="仿宋_GB2312" w:cs="仿宋_GB2312"/>
          <w:sz w:val="32"/>
          <w:szCs w:val="32"/>
          <w:highlight w:val="none"/>
        </w:rPr>
        <w:t>万元。其中：人员经费</w:t>
      </w:r>
      <w:r>
        <w:rPr>
          <w:rFonts w:hint="eastAsia" w:ascii="仿宋_GB2312" w:hAnsi="仿宋_GB2312" w:eastAsia="仿宋_GB2312" w:cs="仿宋_GB2312"/>
          <w:sz w:val="32"/>
          <w:szCs w:val="32"/>
          <w:highlight w:val="none"/>
          <w:lang w:val="en-US" w:eastAsia="zh-CN"/>
        </w:rPr>
        <w:t>682.52</w:t>
      </w:r>
      <w:r>
        <w:rPr>
          <w:rFonts w:hint="eastAsia" w:ascii="仿宋_GB2312" w:hAnsi="仿宋_GB2312" w:eastAsia="仿宋_GB2312" w:cs="仿宋_GB2312"/>
          <w:sz w:val="32"/>
          <w:szCs w:val="32"/>
          <w:highlight w:val="none"/>
        </w:rPr>
        <w:t>万元，主要包括：基本工资、津贴补贴、绩效工资、机关事业单位基本养老保险缴费、职业年金缴费、职工基本医疗保险缴费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其他社会保障缴费、</w:t>
      </w:r>
      <w:r>
        <w:rPr>
          <w:rFonts w:hint="eastAsia" w:ascii="仿宋_GB2312" w:hAnsi="仿宋_GB2312" w:eastAsia="仿宋_GB2312" w:cs="仿宋_GB2312"/>
          <w:sz w:val="32"/>
          <w:szCs w:val="32"/>
          <w:highlight w:val="none"/>
          <w:lang w:eastAsia="zh-CN"/>
        </w:rPr>
        <w:t>住房公积金、医疗费、其他工资福利支出、</w:t>
      </w:r>
      <w:r>
        <w:rPr>
          <w:rFonts w:hint="eastAsia" w:ascii="仿宋_GB2312" w:hAnsi="仿宋_GB2312" w:eastAsia="仿宋_GB2312" w:cs="仿宋_GB2312"/>
          <w:sz w:val="32"/>
          <w:szCs w:val="32"/>
          <w:highlight w:val="none"/>
        </w:rPr>
        <w:t>退休费、生活补助、奖励金；公用经费</w:t>
      </w:r>
      <w:r>
        <w:rPr>
          <w:rFonts w:hint="eastAsia" w:ascii="仿宋_GB2312" w:hAnsi="仿宋_GB2312" w:eastAsia="仿宋_GB2312" w:cs="仿宋_GB2312"/>
          <w:sz w:val="32"/>
          <w:szCs w:val="32"/>
          <w:highlight w:val="none"/>
          <w:lang w:val="en-US" w:eastAsia="zh-CN"/>
        </w:rPr>
        <w:t>324.58</w:t>
      </w:r>
      <w:r>
        <w:rPr>
          <w:rFonts w:hint="eastAsia" w:ascii="仿宋_GB2312" w:hAnsi="仿宋_GB2312" w:eastAsia="仿宋_GB2312" w:cs="仿宋_GB2312"/>
          <w:sz w:val="32"/>
          <w:szCs w:val="32"/>
          <w:highlight w:val="none"/>
        </w:rPr>
        <w:t>万元，主要包括：办公费、印刷费、手续费、邮电费、取暖费、差旅费、维修（护）费、租赁费、培训费、劳务费、委托业务费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公务用车运行维护费、其他交通费用、其他商品和服务支出、办公设备购置。</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七、一般公共预算财政拨款“三公”经费支出决算情况说明</w:t>
      </w:r>
    </w:p>
    <w:p>
      <w:pPr>
        <w:widowControl/>
        <w:spacing w:line="590" w:lineRule="exact"/>
        <w:ind w:firstLine="643" w:firstLineChars="200"/>
        <w:outlineLvl w:val="2"/>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（一）“三公”经费财政拨款支出决算总体情况说明。</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年度“三公”经费财政拨款支出预算为</w:t>
      </w:r>
      <w:r>
        <w:rPr>
          <w:rFonts w:hint="eastAsia" w:ascii="仿宋_GB2312" w:hAnsi="仿宋_GB2312" w:eastAsia="仿宋_GB2312" w:cs="仿宋_GB2312"/>
          <w:sz w:val="32"/>
          <w:szCs w:val="32"/>
          <w:highlight w:val="none"/>
          <w:lang w:val="en-US" w:eastAsia="zh-CN"/>
        </w:rPr>
        <w:t>1.35</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1.35</w:t>
      </w:r>
      <w:r>
        <w:rPr>
          <w:rFonts w:hint="eastAsia" w:ascii="仿宋_GB2312" w:hAnsi="仿宋_GB2312" w:eastAsia="仿宋_GB2312" w:cs="仿宋_GB2312"/>
          <w:sz w:val="32"/>
          <w:szCs w:val="32"/>
          <w:highlight w:val="none"/>
        </w:rPr>
        <w:t>万元，完成预算的</w:t>
      </w:r>
      <w:r>
        <w:rPr>
          <w:rFonts w:hint="eastAsia" w:ascii="仿宋_GB2312" w:hAnsi="仿宋_GB2312" w:eastAsia="仿宋_GB2312" w:cs="仿宋_GB2312"/>
          <w:sz w:val="32"/>
          <w:szCs w:val="32"/>
          <w:highlight w:val="none"/>
          <w:lang w:val="en-US" w:eastAsia="zh-CN"/>
        </w:rPr>
        <w:t>100.00</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年度“三公”经费支出决算数与预算数</w:t>
      </w:r>
      <w:r>
        <w:rPr>
          <w:rFonts w:hint="eastAsia" w:ascii="仿宋_GB2312" w:hAnsi="仿宋_GB2312" w:eastAsia="仿宋_GB2312" w:cs="仿宋_GB2312"/>
          <w:sz w:val="32"/>
          <w:szCs w:val="32"/>
          <w:highlight w:val="none"/>
          <w:lang w:eastAsia="zh-CN"/>
        </w:rPr>
        <w:t>不</w:t>
      </w:r>
      <w:r>
        <w:rPr>
          <w:rFonts w:hint="eastAsia" w:ascii="仿宋_GB2312" w:hAnsi="仿宋_GB2312" w:eastAsia="仿宋_GB2312" w:cs="仿宋_GB2312"/>
          <w:sz w:val="32"/>
          <w:szCs w:val="32"/>
          <w:highlight w:val="none"/>
        </w:rPr>
        <w:t>存在差异。</w:t>
      </w:r>
    </w:p>
    <w:p>
      <w:pPr>
        <w:widowControl/>
        <w:spacing w:line="590" w:lineRule="exact"/>
        <w:ind w:firstLine="643" w:firstLineChars="200"/>
        <w:outlineLvl w:val="2"/>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（二）“三公”经费财政拨款支出决算具体情况说明。</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年度“三公”经费财政拨款支出决算中，因公出国（境）费支出决算</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万元，完成预算的</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%，占</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%；公务用车购置及运行费支出决算</w:t>
      </w:r>
      <w:r>
        <w:rPr>
          <w:rFonts w:hint="eastAsia" w:ascii="仿宋_GB2312" w:hAnsi="仿宋_GB2312" w:eastAsia="仿宋_GB2312" w:cs="仿宋_GB2312"/>
          <w:sz w:val="32"/>
          <w:szCs w:val="32"/>
          <w:highlight w:val="none"/>
          <w:lang w:val="en-US" w:eastAsia="zh-CN"/>
        </w:rPr>
        <w:t>1.35</w:t>
      </w:r>
      <w:r>
        <w:rPr>
          <w:rFonts w:hint="eastAsia" w:ascii="仿宋_GB2312" w:hAnsi="仿宋_GB2312" w:eastAsia="仿宋_GB2312" w:cs="仿宋_GB2312"/>
          <w:sz w:val="32"/>
          <w:szCs w:val="32"/>
          <w:highlight w:val="none"/>
        </w:rPr>
        <w:t>万元，完成预算的</w:t>
      </w:r>
      <w:r>
        <w:rPr>
          <w:rFonts w:hint="eastAsia" w:ascii="仿宋_GB2312" w:hAnsi="仿宋_GB2312" w:eastAsia="仿宋_GB2312" w:cs="仿宋_GB2312"/>
          <w:sz w:val="32"/>
          <w:szCs w:val="32"/>
          <w:highlight w:val="none"/>
          <w:lang w:val="en-US" w:eastAsia="zh-CN"/>
        </w:rPr>
        <w:t>100.00</w:t>
      </w:r>
      <w:r>
        <w:rPr>
          <w:rFonts w:hint="eastAsia" w:ascii="仿宋_GB2312" w:hAnsi="仿宋_GB2312" w:eastAsia="仿宋_GB2312" w:cs="仿宋_GB2312"/>
          <w:sz w:val="32"/>
          <w:szCs w:val="32"/>
          <w:highlight w:val="none"/>
        </w:rPr>
        <w:t>%，占</w:t>
      </w:r>
      <w:r>
        <w:rPr>
          <w:rFonts w:hint="eastAsia" w:ascii="仿宋_GB2312" w:hAnsi="仿宋_GB2312" w:eastAsia="仿宋_GB2312" w:cs="仿宋_GB2312"/>
          <w:sz w:val="32"/>
          <w:szCs w:val="32"/>
          <w:highlight w:val="none"/>
          <w:lang w:val="en-US" w:eastAsia="zh-CN"/>
        </w:rPr>
        <w:t>100.00</w:t>
      </w:r>
      <w:r>
        <w:rPr>
          <w:rFonts w:hint="eastAsia" w:ascii="仿宋_GB2312" w:hAnsi="仿宋_GB2312" w:eastAsia="仿宋_GB2312" w:cs="仿宋_GB2312"/>
          <w:sz w:val="32"/>
          <w:szCs w:val="32"/>
          <w:highlight w:val="none"/>
        </w:rPr>
        <w:t>%；公务接待费支出决算</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万元，完成预算的</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%，占</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%。具体情况如下：</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1．因公出国（境）费</w:t>
      </w:r>
      <w:r>
        <w:rPr>
          <w:rFonts w:hint="eastAsia" w:ascii="仿宋_GB2312" w:hAnsi="仿宋_GB2312" w:eastAsia="仿宋_GB2312" w:cs="仿宋_GB2312"/>
          <w:sz w:val="32"/>
          <w:szCs w:val="32"/>
          <w:highlight w:val="none"/>
        </w:rPr>
        <w:t>预算为</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万元，完成预算的</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%。决算数与预算数</w:t>
      </w:r>
      <w:r>
        <w:rPr>
          <w:rFonts w:hint="eastAsia" w:ascii="仿宋_GB2312" w:hAnsi="仿宋_GB2312" w:eastAsia="仿宋_GB2312" w:cs="仿宋_GB2312"/>
          <w:sz w:val="32"/>
          <w:szCs w:val="32"/>
          <w:highlight w:val="none"/>
          <w:lang w:eastAsia="zh-CN"/>
        </w:rPr>
        <w:t>不</w:t>
      </w:r>
      <w:r>
        <w:rPr>
          <w:rFonts w:hint="eastAsia" w:ascii="仿宋_GB2312" w:hAnsi="仿宋_GB2312" w:eastAsia="仿宋_GB2312" w:cs="仿宋_GB2312"/>
          <w:sz w:val="32"/>
          <w:szCs w:val="32"/>
          <w:highlight w:val="none"/>
        </w:rPr>
        <w:t>存在差异。</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2．公务用车购置及运行费</w:t>
      </w:r>
      <w:r>
        <w:rPr>
          <w:rFonts w:hint="eastAsia" w:ascii="仿宋_GB2312" w:hAnsi="仿宋_GB2312" w:eastAsia="仿宋_GB2312" w:cs="仿宋_GB2312"/>
          <w:sz w:val="32"/>
          <w:szCs w:val="32"/>
          <w:highlight w:val="none"/>
        </w:rPr>
        <w:t>预算为</w:t>
      </w:r>
      <w:r>
        <w:rPr>
          <w:rFonts w:hint="eastAsia" w:ascii="仿宋_GB2312" w:hAnsi="仿宋_GB2312" w:eastAsia="仿宋_GB2312" w:cs="仿宋_GB2312"/>
          <w:sz w:val="32"/>
          <w:szCs w:val="32"/>
          <w:highlight w:val="none"/>
          <w:lang w:val="en-US" w:eastAsia="zh-CN"/>
        </w:rPr>
        <w:t>1.35</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1.35</w:t>
      </w:r>
      <w:r>
        <w:rPr>
          <w:rFonts w:hint="eastAsia" w:ascii="仿宋_GB2312" w:hAnsi="仿宋_GB2312" w:eastAsia="仿宋_GB2312" w:cs="仿宋_GB2312"/>
          <w:sz w:val="32"/>
          <w:szCs w:val="32"/>
          <w:highlight w:val="none"/>
        </w:rPr>
        <w:t>万元，完成预算的</w:t>
      </w:r>
      <w:r>
        <w:rPr>
          <w:rFonts w:hint="eastAsia" w:ascii="仿宋_GB2312" w:hAnsi="仿宋_GB2312" w:eastAsia="仿宋_GB2312" w:cs="仿宋_GB2312"/>
          <w:sz w:val="32"/>
          <w:szCs w:val="32"/>
          <w:highlight w:val="none"/>
          <w:lang w:val="en-US" w:eastAsia="zh-CN"/>
        </w:rPr>
        <w:t>100.00</w:t>
      </w:r>
      <w:r>
        <w:rPr>
          <w:rFonts w:hint="eastAsia" w:ascii="仿宋_GB2312" w:hAnsi="仿宋_GB2312" w:eastAsia="仿宋_GB2312" w:cs="仿宋_GB2312"/>
          <w:sz w:val="32"/>
          <w:szCs w:val="32"/>
          <w:highlight w:val="none"/>
        </w:rPr>
        <w:t>%。决算数与预算数</w:t>
      </w:r>
      <w:r>
        <w:rPr>
          <w:rFonts w:hint="eastAsia" w:ascii="仿宋_GB2312" w:hAnsi="仿宋_GB2312" w:eastAsia="仿宋_GB2312" w:cs="仿宋_GB2312"/>
          <w:sz w:val="32"/>
          <w:szCs w:val="32"/>
          <w:highlight w:val="none"/>
          <w:lang w:eastAsia="zh-CN"/>
        </w:rPr>
        <w:t>不</w:t>
      </w:r>
      <w:r>
        <w:rPr>
          <w:rFonts w:hint="eastAsia" w:ascii="仿宋_GB2312" w:hAnsi="仿宋_GB2312" w:eastAsia="仿宋_GB2312" w:cs="仿宋_GB2312"/>
          <w:sz w:val="32"/>
          <w:szCs w:val="32"/>
          <w:highlight w:val="none"/>
        </w:rPr>
        <w:t>存在差异。其中：</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公务用车购置支出</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万元，购置车辆</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台。</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公务用车运行支出</w:t>
      </w:r>
      <w:r>
        <w:rPr>
          <w:rFonts w:hint="eastAsia" w:ascii="仿宋_GB2312" w:hAnsi="仿宋_GB2312" w:eastAsia="仿宋_GB2312" w:cs="仿宋_GB2312"/>
          <w:sz w:val="32"/>
          <w:szCs w:val="32"/>
          <w:highlight w:val="none"/>
          <w:lang w:val="en-US" w:eastAsia="zh-CN"/>
        </w:rPr>
        <w:t>1.35</w:t>
      </w:r>
      <w:r>
        <w:rPr>
          <w:rFonts w:hint="eastAsia" w:ascii="仿宋_GB2312" w:hAnsi="仿宋_GB2312" w:eastAsia="仿宋_GB2312" w:cs="仿宋_GB2312"/>
          <w:sz w:val="32"/>
          <w:szCs w:val="32"/>
          <w:highlight w:val="none"/>
        </w:rPr>
        <w:t>万元。主要用于我单位公务用车</w:t>
      </w:r>
      <w:r>
        <w:rPr>
          <w:rFonts w:ascii="仿宋_GB2312" w:hAnsi="仿宋_GB2312" w:eastAsia="仿宋_GB2312" w:cs="仿宋_GB2312"/>
          <w:sz w:val="32"/>
          <w:szCs w:val="32"/>
          <w:highlight w:val="none"/>
        </w:rPr>
        <w:t>的日常维修保养、保险等开支</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年期末，单位开支财政拨款的公务用车保有</w:t>
      </w:r>
      <w:r>
        <w:rPr>
          <w:rFonts w:hint="eastAsia" w:ascii="仿宋_GB2312" w:hAnsi="仿宋_GB2312" w:eastAsia="仿宋_GB2312" w:cs="仿宋_GB2312"/>
          <w:sz w:val="32"/>
          <w:szCs w:val="32"/>
          <w:highlight w:val="none"/>
          <w:lang w:eastAsia="zh-CN"/>
        </w:rPr>
        <w:t>辆</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1辆</w:t>
      </w:r>
      <w:r>
        <w:rPr>
          <w:rFonts w:hint="eastAsia" w:ascii="仿宋_GB2312" w:hAnsi="仿宋_GB2312" w:eastAsia="仿宋_GB2312" w:cs="仿宋_GB2312"/>
          <w:sz w:val="32"/>
          <w:szCs w:val="32"/>
          <w:highlight w:val="none"/>
        </w:rPr>
        <w:t>。</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3.公务接待费</w:t>
      </w:r>
      <w:r>
        <w:rPr>
          <w:rFonts w:hint="eastAsia" w:ascii="仿宋_GB2312" w:hAnsi="仿宋_GB2312" w:eastAsia="仿宋_GB2312" w:cs="仿宋_GB2312"/>
          <w:sz w:val="32"/>
          <w:szCs w:val="32"/>
          <w:highlight w:val="none"/>
        </w:rPr>
        <w:t>预算为</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万元，完成预算的</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%。决算数与预算数</w:t>
      </w:r>
      <w:r>
        <w:rPr>
          <w:rFonts w:hint="eastAsia" w:ascii="仿宋_GB2312" w:hAnsi="仿宋_GB2312" w:eastAsia="仿宋_GB2312" w:cs="仿宋_GB2312"/>
          <w:sz w:val="32"/>
          <w:szCs w:val="32"/>
          <w:highlight w:val="none"/>
          <w:lang w:eastAsia="zh-CN"/>
        </w:rPr>
        <w:t>不</w:t>
      </w:r>
      <w:r>
        <w:rPr>
          <w:rFonts w:hint="eastAsia" w:ascii="仿宋_GB2312" w:hAnsi="仿宋_GB2312" w:eastAsia="仿宋_GB2312" w:cs="仿宋_GB2312"/>
          <w:sz w:val="32"/>
          <w:szCs w:val="32"/>
          <w:highlight w:val="none"/>
        </w:rPr>
        <w:t>存在差异。其中：</w:t>
      </w:r>
    </w:p>
    <w:p>
      <w:pPr>
        <w:widowControl/>
        <w:spacing w:line="590" w:lineRule="exact"/>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外宾接待支出</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w:t>
      </w: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年共接待国（境）外来访团组</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个、来访外宾</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人次（不包括陪同人员）。</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其他国内公务接待支出</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w:t>
      </w: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年共接待国内来访团组</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个、来宾</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人次（不包括陪同人员）。</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八、政府性基金预算财政拨款支出决算情况说明</w:t>
      </w:r>
    </w:p>
    <w:p>
      <w:pPr>
        <w:widowControl/>
        <w:spacing w:line="59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2021年度政府性基金预算财政拨款支出年初预算为0.00万元，支出决算为0.00万元，完成预算的0.00%。不存在项目年末结转和结余资金数额较大。情况说明：</w:t>
      </w:r>
      <w:r>
        <w:rPr>
          <w:rFonts w:hint="eastAsia" w:ascii="仿宋_GB2312" w:hAnsi="仿宋_GB2312" w:eastAsia="仿宋_GB2312" w:cs="仿宋_GB2312"/>
          <w:sz w:val="32"/>
          <w:szCs w:val="32"/>
          <w:highlight w:val="none"/>
        </w:rPr>
        <w:t>我单位202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年度没有政府性基金收入，也没有使用政府性基金安排的支出。</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九、机关运行经费支出情况说明</w:t>
      </w:r>
    </w:p>
    <w:p>
      <w:pPr>
        <w:widowControl/>
        <w:spacing w:line="590" w:lineRule="exact"/>
        <w:ind w:firstLine="640" w:firstLineChars="200"/>
        <w:rPr>
          <w:rFonts w:hint="eastAsia" w:ascii="仿宋_GB2312" w:hAnsi="仿宋_GB2312" w:eastAsia="仿宋_GB2312" w:cs="仿宋_GB2312"/>
          <w:sz w:val="32"/>
          <w:szCs w:val="32"/>
          <w:highlight w:val="none"/>
          <w:lang w:val="en-US" w:eastAsia="zh-CN"/>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年度机关运行经费</w:t>
      </w:r>
      <w:r>
        <w:rPr>
          <w:rFonts w:hint="eastAsia" w:ascii="仿宋_GB2312" w:hAnsi="仿宋_GB2312" w:eastAsia="仿宋_GB2312" w:cs="仿宋_GB2312"/>
          <w:sz w:val="32"/>
          <w:szCs w:val="32"/>
          <w:highlight w:val="none"/>
          <w:lang w:eastAsia="zh-CN"/>
        </w:rPr>
        <w:t>年初</w:t>
      </w:r>
      <w:r>
        <w:rPr>
          <w:rFonts w:hint="eastAsia" w:ascii="仿宋_GB2312" w:hAnsi="仿宋_GB2312" w:eastAsia="仿宋_GB2312" w:cs="仿宋_GB2312"/>
          <w:sz w:val="32"/>
          <w:szCs w:val="32"/>
          <w:highlight w:val="none"/>
        </w:rPr>
        <w:t>预算为</w:t>
      </w:r>
      <w:r>
        <w:rPr>
          <w:rFonts w:hint="eastAsia" w:ascii="仿宋_GB2312" w:hAnsi="仿宋_GB2312" w:eastAsia="仿宋_GB2312" w:cs="仿宋_GB2312"/>
          <w:sz w:val="32"/>
          <w:szCs w:val="32"/>
          <w:highlight w:val="none"/>
          <w:lang w:val="en-US" w:eastAsia="zh-CN"/>
        </w:rPr>
        <w:t>22.79</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255.29</w:t>
      </w:r>
      <w:r>
        <w:rPr>
          <w:rFonts w:hint="eastAsia" w:ascii="仿宋_GB2312" w:hAnsi="仿宋_GB2312" w:eastAsia="仿宋_GB2312" w:cs="仿宋_GB2312"/>
          <w:sz w:val="32"/>
          <w:szCs w:val="32"/>
          <w:highlight w:val="none"/>
        </w:rPr>
        <w:t>万元，完成</w:t>
      </w:r>
      <w:r>
        <w:rPr>
          <w:rFonts w:hint="eastAsia" w:ascii="仿宋_GB2312" w:hAnsi="仿宋_GB2312" w:eastAsia="仿宋_GB2312" w:cs="仿宋_GB2312"/>
          <w:sz w:val="32"/>
          <w:szCs w:val="32"/>
          <w:highlight w:val="none"/>
          <w:lang w:eastAsia="zh-CN"/>
        </w:rPr>
        <w:t>年初</w:t>
      </w:r>
      <w:r>
        <w:rPr>
          <w:rFonts w:hint="eastAsia" w:ascii="仿宋_GB2312" w:hAnsi="仿宋_GB2312" w:eastAsia="仿宋_GB2312" w:cs="仿宋_GB2312"/>
          <w:sz w:val="32"/>
          <w:szCs w:val="32"/>
          <w:highlight w:val="none"/>
        </w:rPr>
        <w:t>预算的</w:t>
      </w:r>
      <w:r>
        <w:rPr>
          <w:rFonts w:hint="eastAsia" w:ascii="仿宋_GB2312" w:hAnsi="仿宋_GB2312" w:eastAsia="仿宋_GB2312" w:cs="仿宋_GB2312"/>
          <w:sz w:val="32"/>
          <w:szCs w:val="32"/>
          <w:highlight w:val="none"/>
          <w:lang w:val="en-US" w:eastAsia="zh-CN"/>
        </w:rPr>
        <w:t>1120.18</w:t>
      </w:r>
      <w:r>
        <w:rPr>
          <w:rFonts w:hint="eastAsia" w:ascii="仿宋_GB2312" w:hAnsi="仿宋_GB2312" w:eastAsia="仿宋_GB2312" w:cs="仿宋_GB2312"/>
          <w:sz w:val="32"/>
          <w:szCs w:val="32"/>
          <w:highlight w:val="none"/>
        </w:rPr>
        <w:t>%。决算数与</w:t>
      </w:r>
      <w:r>
        <w:rPr>
          <w:rFonts w:hint="eastAsia" w:ascii="仿宋_GB2312" w:hAnsi="仿宋_GB2312" w:eastAsia="仿宋_GB2312" w:cs="仿宋_GB2312"/>
          <w:sz w:val="32"/>
          <w:szCs w:val="32"/>
          <w:highlight w:val="none"/>
          <w:lang w:eastAsia="zh-CN"/>
        </w:rPr>
        <w:t>年初</w:t>
      </w:r>
      <w:r>
        <w:rPr>
          <w:rFonts w:hint="eastAsia" w:ascii="仿宋_GB2312" w:hAnsi="仿宋_GB2312" w:eastAsia="仿宋_GB2312" w:cs="仿宋_GB2312"/>
          <w:sz w:val="32"/>
          <w:szCs w:val="32"/>
          <w:highlight w:val="none"/>
        </w:rPr>
        <w:t>预算数存在差异的主要原因是决算数与年初预算数存在差异的主要原因是业务活动</w:t>
      </w:r>
      <w:r>
        <w:rPr>
          <w:rFonts w:ascii="仿宋_GB2312" w:hAnsi="仿宋_GB2312" w:eastAsia="仿宋_GB2312" w:cs="仿宋_GB2312"/>
          <w:sz w:val="32"/>
          <w:szCs w:val="32"/>
          <w:highlight w:val="none"/>
        </w:rPr>
        <w:t>增</w:t>
      </w:r>
      <w:r>
        <w:rPr>
          <w:rFonts w:hint="eastAsia" w:ascii="仿宋_GB2312" w:hAnsi="仿宋_GB2312" w:eastAsia="仿宋_GB2312" w:cs="仿宋_GB2312"/>
          <w:sz w:val="32"/>
          <w:szCs w:val="32"/>
          <w:highlight w:val="none"/>
        </w:rPr>
        <w:t>加、</w:t>
      </w:r>
      <w:r>
        <w:rPr>
          <w:rFonts w:ascii="仿宋_GB2312" w:hAnsi="仿宋_GB2312" w:eastAsia="仿宋_GB2312" w:cs="仿宋_GB2312"/>
          <w:sz w:val="32"/>
          <w:szCs w:val="32"/>
          <w:highlight w:val="none"/>
        </w:rPr>
        <w:t>支出增加</w:t>
      </w:r>
      <w:r>
        <w:rPr>
          <w:rFonts w:hint="eastAsia" w:ascii="仿宋_GB2312" w:hAnsi="仿宋_GB2312" w:eastAsia="仿宋_GB2312" w:cs="仿宋_GB2312"/>
          <w:sz w:val="32"/>
          <w:szCs w:val="32"/>
          <w:highlight w:val="none"/>
          <w:lang w:eastAsia="zh-CN"/>
        </w:rPr>
        <w:t>。</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十、政府采购支出情况说明</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年度政府采购支出总额</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万元，其中：政府采购货物支出</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万元、政府采购工程支出</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万元、政府采购服务支出</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万元。授予中小企业合同金额</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万元，占政府采购支出总额的</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%，其中：授予小微企业合同金额</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万元，占政府采购支出总额的</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十一、国有资产占用情况说明</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年期末，我单位共有车辆</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辆，其中：省级领导干部用车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辆、主要领导干部用车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辆、机要通信用车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辆、应急保障车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辆、执法执勤用车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辆、特种专业技术用车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辆、离退休干部用车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辆、其他用车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辆；单位价值50</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rPr>
        <w:t>万元以上通用设备</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台（套），单位价值100</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rPr>
        <w:t>万元以上专用设备</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台（套）。</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十二、预算绩效情况说明</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964" w:firstLineChars="3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（一）绩效管理工作开展情况。</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我部门按照《中共许昌市委 许昌市人民政府关于全面实施预算绩效管理的实施意见》（许发〔2021〕13号）文件要求，对本部门整体支出和项目支出开展全过程预算绩效管理。2021年我部门纳入预算绩效管理的支出总额为1154.25万元，其中：基本支出1007.10万元；支出项目9个，支出金额147.15万元。开展项目绩效自评项目9个，自评金额147.15万元；纳入重点绩效评价0个，评价金额0万元。</w:t>
      </w:r>
    </w:p>
    <w:p>
      <w:pPr>
        <w:numPr>
          <w:ilvl w:val="0"/>
          <w:numId w:val="2"/>
        </w:numPr>
        <w:autoSpaceDE w:val="0"/>
        <w:autoSpaceDN w:val="0"/>
        <w:adjustRightInd w:val="0"/>
        <w:spacing w:line="360" w:lineRule="auto"/>
        <w:ind w:firstLine="643" w:firstLineChars="200"/>
        <w:jc w:val="left"/>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部门（单位）整体和项目绩效自评结果。</w:t>
      </w:r>
    </w:p>
    <w:p>
      <w:pPr>
        <w:numPr>
          <w:ilvl w:val="0"/>
          <w:numId w:val="0"/>
        </w:numPr>
        <w:autoSpaceDE w:val="0"/>
        <w:autoSpaceDN w:val="0"/>
        <w:adjustRightInd w:val="0"/>
        <w:spacing w:line="360" w:lineRule="auto"/>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《许昌市建安区财政局关于开展2021年度区级预算项目绩效自评工作的通知》（建安财效〔2022〕2号）等文件精神，我部门对本部门整体绩效目标和项目支出绩效目标进行了自评。  一是部门整体绩效自评情况。</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中共许昌市建安</w:t>
      </w:r>
      <w:r>
        <w:rPr>
          <w:rFonts w:hint="eastAsia" w:ascii="仿宋_GB2312" w:hAnsi="仿宋_GB2312" w:eastAsia="仿宋_GB2312" w:cs="仿宋_GB2312"/>
          <w:sz w:val="32"/>
          <w:szCs w:val="32"/>
          <w:highlight w:val="none"/>
        </w:rPr>
        <w:t>区委宣传部资金来源于财政拨款。资金主要用于办案。项目所有开支均按照我</w:t>
      </w:r>
      <w:r>
        <w:rPr>
          <w:rFonts w:hint="eastAsia" w:ascii="仿宋_GB2312" w:hAnsi="仿宋_GB2312" w:eastAsia="仿宋_GB2312" w:cs="仿宋_GB2312"/>
          <w:sz w:val="32"/>
          <w:szCs w:val="32"/>
          <w:highlight w:val="none"/>
          <w:lang w:eastAsia="zh-CN"/>
        </w:rPr>
        <w:t>部门</w:t>
      </w:r>
      <w:r>
        <w:rPr>
          <w:rFonts w:hint="eastAsia" w:ascii="仿宋_GB2312" w:hAnsi="仿宋_GB2312" w:eastAsia="仿宋_GB2312" w:cs="仿宋_GB2312"/>
          <w:sz w:val="32"/>
          <w:szCs w:val="32"/>
          <w:highlight w:val="none"/>
        </w:rPr>
        <w:t>财务管理制度和绩效管理制度执行，遵守相关法律法规和业务管理规定，手续完备，及时收集相关资料并归档，确保统计各项工作正常运转。无截留、无挤占、挪用，确保专款专用。绩效管理工作职能和职责分工明确，整体工作成果和风采宣传到位。根据实际工作情况，逐步完善各项制度。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年在各部门的共同努力下，实现绩效目标，圆满地完成了各项任务。</w:t>
      </w:r>
      <w:r>
        <w:rPr>
          <w:rFonts w:hint="eastAsia" w:ascii="仿宋_GB2312" w:hAnsi="仿宋_GB2312" w:eastAsia="仿宋_GB2312" w:cs="仿宋_GB2312"/>
          <w:color w:val="auto"/>
          <w:sz w:val="32"/>
          <w:szCs w:val="32"/>
          <w:highlight w:val="none"/>
          <w:lang w:val="en-US" w:eastAsia="zh-CN"/>
        </w:rPr>
        <w:t>二是项目绩效自评情况。我部门共有9个项目批复了绩效目标。其中：</w:t>
      </w:r>
    </w:p>
    <w:p>
      <w:pPr>
        <w:keepNext w:val="0"/>
        <w:keepLines w:val="0"/>
        <w:pageBreakBefore w:val="0"/>
        <w:widowControl/>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eastAsia="zh-CN"/>
        </w:rPr>
        <w:t>中共许昌市建安</w:t>
      </w:r>
      <w:r>
        <w:rPr>
          <w:rFonts w:hint="eastAsia" w:ascii="仿宋_GB2312" w:hAnsi="仿宋_GB2312" w:eastAsia="仿宋_GB2312" w:cs="仿宋_GB2312"/>
          <w:sz w:val="32"/>
          <w:szCs w:val="32"/>
          <w:highlight w:val="none"/>
        </w:rPr>
        <w:t>区委宣传部</w:t>
      </w:r>
      <w:r>
        <w:rPr>
          <w:rFonts w:hint="eastAsia" w:ascii="仿宋_GB2312" w:hAnsi="仿宋_GB2312" w:eastAsia="仿宋_GB2312" w:cs="仿宋_GB2312"/>
          <w:kern w:val="0"/>
          <w:sz w:val="32"/>
          <w:szCs w:val="32"/>
          <w:highlight w:val="none"/>
          <w:lang w:eastAsia="zh-CN"/>
        </w:rPr>
        <w:t>（本级）</w:t>
      </w:r>
      <w:r>
        <w:rPr>
          <w:rFonts w:hint="eastAsia" w:ascii="仿宋_GB2312" w:hAnsi="仿宋_GB2312" w:eastAsia="仿宋_GB2312" w:cs="仿宋_GB2312"/>
          <w:color w:val="auto"/>
          <w:sz w:val="32"/>
          <w:szCs w:val="32"/>
          <w:highlight w:val="none"/>
          <w:lang w:val="en-US" w:eastAsia="zh-CN"/>
        </w:rPr>
        <w:t>9个。</w:t>
      </w:r>
    </w:p>
    <w:p>
      <w:pPr>
        <w:keepNext w:val="0"/>
        <w:keepLines w:val="0"/>
        <w:pageBreakBefore w:val="0"/>
        <w:widowControl/>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基于项目预期目标的实现程度，对2021年度项目支出绩效进行自评，绩效自评平均得分为95分。其中： 1个项目评价等级为“优”、4个项目评价等级为“良”、4个项目评价等级为“中”。</w:t>
      </w:r>
    </w:p>
    <w:p>
      <w:pPr>
        <w:keepNext w:val="0"/>
        <w:keepLines w:val="0"/>
        <w:pageBreakBefore w:val="0"/>
        <w:widowControl/>
        <w:kinsoku/>
        <w:wordWrap/>
        <w:overflowPunct/>
        <w:topLinePunct w:val="0"/>
        <w:autoSpaceDE/>
        <w:autoSpaceDN/>
        <w:bidi w:val="0"/>
        <w:adjustRightInd/>
        <w:snapToGrid/>
        <w:spacing w:line="360" w:lineRule="auto"/>
        <w:ind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（三）重点绩效评价结果。</w:t>
      </w:r>
    </w:p>
    <w:p>
      <w:pPr>
        <w:widowControl/>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我单位选取0个项目开展了部门重点评价，评价得分：/分，等次为“/”。许昌市建安区财政局选取我单位：0个项目开展财政重点评价。</w:t>
      </w:r>
    </w:p>
    <w:p>
      <w:pPr>
        <w:widowControl/>
        <w:ind w:firstLine="640" w:firstLineChars="200"/>
        <w:jc w:val="left"/>
        <w:rPr>
          <w:rFonts w:hint="default" w:ascii="黑体" w:hAnsi="宋体" w:eastAsia="黑体" w:cs="宋体"/>
          <w:kern w:val="0"/>
          <w:sz w:val="28"/>
          <w:szCs w:val="28"/>
          <w:highlight w:val="none"/>
          <w:lang w:val="en-US"/>
        </w:rPr>
      </w:pPr>
      <w:r>
        <w:rPr>
          <w:rFonts w:hint="eastAsia" w:ascii="仿宋_GB2312" w:hAnsi="仿宋_GB2312" w:eastAsia="仿宋_GB2312" w:cs="仿宋_GB2312"/>
          <w:color w:val="auto"/>
          <w:sz w:val="32"/>
          <w:szCs w:val="32"/>
          <w:highlight w:val="none"/>
          <w:lang w:val="en-US" w:eastAsia="zh-CN"/>
        </w:rPr>
        <w:t>2021年度我单位没有开展重点绩效评价的项目。</w:t>
      </w: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ind w:firstLine="2400" w:firstLineChars="500"/>
        <w:jc w:val="both"/>
        <w:outlineLvl w:val="0"/>
        <w:rPr>
          <w:rFonts w:hint="eastAsia" w:ascii="黑体" w:hAnsi="黑体" w:eastAsia="黑体" w:cs="黑体"/>
          <w:sz w:val="48"/>
          <w:szCs w:val="48"/>
          <w:highlight w:val="none"/>
        </w:rPr>
      </w:pPr>
      <w:r>
        <w:rPr>
          <w:rFonts w:hint="eastAsia" w:ascii="黑体" w:hAnsi="黑体" w:eastAsia="黑体" w:cs="黑体"/>
          <w:sz w:val="48"/>
          <w:szCs w:val="48"/>
          <w:highlight w:val="none"/>
        </w:rPr>
        <w:t>第四部分  名词解释</w:t>
      </w:r>
    </w:p>
    <w:p>
      <w:pPr>
        <w:jc w:val="center"/>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十、年末结余：本年度或以前年度预算安排，已执行完毕或因客观条件发生变化无法按原预算安排实施，不需要再使用或无法按原预算安排继续使用的资金</w:t>
      </w:r>
      <w:r>
        <w:rPr>
          <w:rFonts w:hint="eastAsia" w:ascii="仿宋_GB2312" w:hAnsi="仿宋_GB2312" w:eastAsia="仿宋_GB2312" w:cs="仿宋_GB2312"/>
          <w:sz w:val="32"/>
          <w:szCs w:val="32"/>
          <w:highlight w:val="none"/>
          <w:lang w:eastAsia="zh-CN"/>
        </w:rPr>
        <w:t>。</w:t>
      </w:r>
    </w:p>
    <w:p>
      <w:pPr>
        <w:widowControl/>
        <w:spacing w:line="590" w:lineRule="exact"/>
        <w:ind w:firstLine="640" w:firstLineChars="200"/>
        <w:jc w:val="left"/>
        <w:rPr>
          <w:rFonts w:hint="eastAsia" w:ascii="仿宋_GB2312" w:hAnsi="仿宋_GB2312" w:eastAsia="仿宋_GB2312" w:cs="仿宋_GB2312"/>
          <w:sz w:val="32"/>
          <w:szCs w:val="32"/>
          <w:highlight w:val="none"/>
        </w:rPr>
      </w:pP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- 23 -</w:t>
                          </w:r>
                          <w:r>
                            <w:rPr>
                              <w:rFonts w:hint="eastAsia"/>
                              <w:sz w:val="18"/>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B1q+s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UtKHLc48PPPH+dff86/v5Pr&#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Adavr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- 23 -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vdzckBAACZ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Ae93N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27DE0"/>
    <w:multiLevelType w:val="singleLevel"/>
    <w:tmpl w:val="C9527DE0"/>
    <w:lvl w:ilvl="0" w:tentative="0">
      <w:start w:val="2"/>
      <w:numFmt w:val="chineseCounting"/>
      <w:suff w:val="nothing"/>
      <w:lvlText w:val="（%1）"/>
      <w:lvlJc w:val="left"/>
      <w:rPr>
        <w:rFonts w:hint="eastAsia"/>
      </w:rPr>
    </w:lvl>
  </w:abstractNum>
  <w:abstractNum w:abstractNumId="1">
    <w:nsid w:val="5971BE17"/>
    <w:multiLevelType w:val="singleLevel"/>
    <w:tmpl w:val="5971BE1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NTJmZmNiYTdkYTgyYzg0YWIyMGM2MzA4ZWY1NTUifQ=="/>
  </w:docVars>
  <w:rsids>
    <w:rsidRoot w:val="000270E8"/>
    <w:rsid w:val="000270E8"/>
    <w:rsid w:val="000335B5"/>
    <w:rsid w:val="00057AFD"/>
    <w:rsid w:val="00076410"/>
    <w:rsid w:val="00081835"/>
    <w:rsid w:val="000904B3"/>
    <w:rsid w:val="000C073B"/>
    <w:rsid w:val="000C1142"/>
    <w:rsid w:val="001003F8"/>
    <w:rsid w:val="00144159"/>
    <w:rsid w:val="001718A8"/>
    <w:rsid w:val="00182842"/>
    <w:rsid w:val="00184D53"/>
    <w:rsid w:val="001905F2"/>
    <w:rsid w:val="00197592"/>
    <w:rsid w:val="001C32F0"/>
    <w:rsid w:val="001D61B1"/>
    <w:rsid w:val="001F5040"/>
    <w:rsid w:val="002006EB"/>
    <w:rsid w:val="00214AE1"/>
    <w:rsid w:val="00260D70"/>
    <w:rsid w:val="00281114"/>
    <w:rsid w:val="00282C7F"/>
    <w:rsid w:val="00287811"/>
    <w:rsid w:val="00292B4B"/>
    <w:rsid w:val="002A6352"/>
    <w:rsid w:val="002B3F94"/>
    <w:rsid w:val="002C171D"/>
    <w:rsid w:val="002E6A86"/>
    <w:rsid w:val="00304D04"/>
    <w:rsid w:val="00305B88"/>
    <w:rsid w:val="00315FEB"/>
    <w:rsid w:val="0041489C"/>
    <w:rsid w:val="0042585F"/>
    <w:rsid w:val="00445CAC"/>
    <w:rsid w:val="00472E19"/>
    <w:rsid w:val="00487869"/>
    <w:rsid w:val="004D5275"/>
    <w:rsid w:val="004F63DB"/>
    <w:rsid w:val="00505190"/>
    <w:rsid w:val="00507364"/>
    <w:rsid w:val="00546F7C"/>
    <w:rsid w:val="005A0C2F"/>
    <w:rsid w:val="005B1AE2"/>
    <w:rsid w:val="005E3397"/>
    <w:rsid w:val="00607D67"/>
    <w:rsid w:val="006228C4"/>
    <w:rsid w:val="00636C37"/>
    <w:rsid w:val="006512DD"/>
    <w:rsid w:val="00656BEF"/>
    <w:rsid w:val="00656D75"/>
    <w:rsid w:val="00657E86"/>
    <w:rsid w:val="00673EF7"/>
    <w:rsid w:val="006841E9"/>
    <w:rsid w:val="0069449E"/>
    <w:rsid w:val="006C07F0"/>
    <w:rsid w:val="006C644A"/>
    <w:rsid w:val="006C7D84"/>
    <w:rsid w:val="007148E8"/>
    <w:rsid w:val="00733DAA"/>
    <w:rsid w:val="00742BA0"/>
    <w:rsid w:val="00753545"/>
    <w:rsid w:val="00764156"/>
    <w:rsid w:val="007706D7"/>
    <w:rsid w:val="007879ED"/>
    <w:rsid w:val="007A48A3"/>
    <w:rsid w:val="007C029F"/>
    <w:rsid w:val="007C7F49"/>
    <w:rsid w:val="007D2A21"/>
    <w:rsid w:val="00843461"/>
    <w:rsid w:val="008651E7"/>
    <w:rsid w:val="00872946"/>
    <w:rsid w:val="0088023A"/>
    <w:rsid w:val="008858FB"/>
    <w:rsid w:val="00894B41"/>
    <w:rsid w:val="008B5427"/>
    <w:rsid w:val="008C7CD0"/>
    <w:rsid w:val="00903F6B"/>
    <w:rsid w:val="009173F9"/>
    <w:rsid w:val="009308CB"/>
    <w:rsid w:val="00950270"/>
    <w:rsid w:val="00962F58"/>
    <w:rsid w:val="00975A04"/>
    <w:rsid w:val="00987E71"/>
    <w:rsid w:val="009F0FBB"/>
    <w:rsid w:val="009F546E"/>
    <w:rsid w:val="00A079F0"/>
    <w:rsid w:val="00A42F43"/>
    <w:rsid w:val="00A51982"/>
    <w:rsid w:val="00A57BF7"/>
    <w:rsid w:val="00A71DC1"/>
    <w:rsid w:val="00A83D8A"/>
    <w:rsid w:val="00A93E7D"/>
    <w:rsid w:val="00AA260E"/>
    <w:rsid w:val="00AA44CB"/>
    <w:rsid w:val="00AA67CD"/>
    <w:rsid w:val="00AD6761"/>
    <w:rsid w:val="00AE2FEA"/>
    <w:rsid w:val="00AE600E"/>
    <w:rsid w:val="00B0083B"/>
    <w:rsid w:val="00B040BC"/>
    <w:rsid w:val="00B209B8"/>
    <w:rsid w:val="00B20BBC"/>
    <w:rsid w:val="00B249F3"/>
    <w:rsid w:val="00B649BE"/>
    <w:rsid w:val="00B653A5"/>
    <w:rsid w:val="00B710DD"/>
    <w:rsid w:val="00BE5A85"/>
    <w:rsid w:val="00BF4E6A"/>
    <w:rsid w:val="00BF5718"/>
    <w:rsid w:val="00C13474"/>
    <w:rsid w:val="00C3106E"/>
    <w:rsid w:val="00C60609"/>
    <w:rsid w:val="00C95CC1"/>
    <w:rsid w:val="00CA3F44"/>
    <w:rsid w:val="00CB03ED"/>
    <w:rsid w:val="00CE212D"/>
    <w:rsid w:val="00CE4B38"/>
    <w:rsid w:val="00D1321A"/>
    <w:rsid w:val="00D30ADF"/>
    <w:rsid w:val="00D33CF8"/>
    <w:rsid w:val="00D6315E"/>
    <w:rsid w:val="00D652C2"/>
    <w:rsid w:val="00D74EE2"/>
    <w:rsid w:val="00D83E19"/>
    <w:rsid w:val="00D86CAD"/>
    <w:rsid w:val="00DA00C9"/>
    <w:rsid w:val="00DB200E"/>
    <w:rsid w:val="00DB65F5"/>
    <w:rsid w:val="00E01C3E"/>
    <w:rsid w:val="00E13099"/>
    <w:rsid w:val="00E4339F"/>
    <w:rsid w:val="00E60B05"/>
    <w:rsid w:val="00E629EA"/>
    <w:rsid w:val="00E6777C"/>
    <w:rsid w:val="00EB05A3"/>
    <w:rsid w:val="00ED38B7"/>
    <w:rsid w:val="00EE051D"/>
    <w:rsid w:val="00F0131A"/>
    <w:rsid w:val="00F14C17"/>
    <w:rsid w:val="00F17041"/>
    <w:rsid w:val="00F218CF"/>
    <w:rsid w:val="00F44937"/>
    <w:rsid w:val="00F61A47"/>
    <w:rsid w:val="00F84422"/>
    <w:rsid w:val="00F95455"/>
    <w:rsid w:val="00FA574D"/>
    <w:rsid w:val="00FC2588"/>
    <w:rsid w:val="00FE7AD9"/>
    <w:rsid w:val="01322275"/>
    <w:rsid w:val="01DC6F05"/>
    <w:rsid w:val="02A3489A"/>
    <w:rsid w:val="02CA138D"/>
    <w:rsid w:val="033646FC"/>
    <w:rsid w:val="03C75F80"/>
    <w:rsid w:val="0478364D"/>
    <w:rsid w:val="053D4C0D"/>
    <w:rsid w:val="0557532E"/>
    <w:rsid w:val="0799329C"/>
    <w:rsid w:val="08397436"/>
    <w:rsid w:val="086F16A7"/>
    <w:rsid w:val="0A0F7225"/>
    <w:rsid w:val="0A2B7D82"/>
    <w:rsid w:val="0ADC40E9"/>
    <w:rsid w:val="0AE607F4"/>
    <w:rsid w:val="0B386127"/>
    <w:rsid w:val="0B451598"/>
    <w:rsid w:val="0BEC73F4"/>
    <w:rsid w:val="0C392698"/>
    <w:rsid w:val="10BD36F6"/>
    <w:rsid w:val="11BF0649"/>
    <w:rsid w:val="123E3E08"/>
    <w:rsid w:val="133212F4"/>
    <w:rsid w:val="13D22E22"/>
    <w:rsid w:val="161C2DFF"/>
    <w:rsid w:val="16373578"/>
    <w:rsid w:val="16D3336B"/>
    <w:rsid w:val="17200028"/>
    <w:rsid w:val="17806C36"/>
    <w:rsid w:val="17A74F62"/>
    <w:rsid w:val="18A47774"/>
    <w:rsid w:val="1A8D28EB"/>
    <w:rsid w:val="1A9F2D78"/>
    <w:rsid w:val="1B2E6FD8"/>
    <w:rsid w:val="1B877D21"/>
    <w:rsid w:val="1C4319A9"/>
    <w:rsid w:val="1E443B4B"/>
    <w:rsid w:val="1E994F4A"/>
    <w:rsid w:val="1EAF0224"/>
    <w:rsid w:val="1F2230A4"/>
    <w:rsid w:val="20210932"/>
    <w:rsid w:val="202448E0"/>
    <w:rsid w:val="20F614FE"/>
    <w:rsid w:val="21302EEA"/>
    <w:rsid w:val="213203C3"/>
    <w:rsid w:val="22376FB5"/>
    <w:rsid w:val="23E152D7"/>
    <w:rsid w:val="23EE2489"/>
    <w:rsid w:val="255D43C8"/>
    <w:rsid w:val="26714EF8"/>
    <w:rsid w:val="26876BDD"/>
    <w:rsid w:val="2714632A"/>
    <w:rsid w:val="27541E73"/>
    <w:rsid w:val="27B0539E"/>
    <w:rsid w:val="29365CF8"/>
    <w:rsid w:val="299469B3"/>
    <w:rsid w:val="2A805789"/>
    <w:rsid w:val="2ADC0D75"/>
    <w:rsid w:val="2B4A0E52"/>
    <w:rsid w:val="2BF534CC"/>
    <w:rsid w:val="2C975890"/>
    <w:rsid w:val="2DEF21BB"/>
    <w:rsid w:val="2E4A2F05"/>
    <w:rsid w:val="2ECC1061"/>
    <w:rsid w:val="2FA476AD"/>
    <w:rsid w:val="303F7540"/>
    <w:rsid w:val="31DD00BF"/>
    <w:rsid w:val="3293174C"/>
    <w:rsid w:val="32BB38D4"/>
    <w:rsid w:val="32C9376D"/>
    <w:rsid w:val="33780472"/>
    <w:rsid w:val="33AF0905"/>
    <w:rsid w:val="355932F4"/>
    <w:rsid w:val="35611882"/>
    <w:rsid w:val="36746FC3"/>
    <w:rsid w:val="368763AE"/>
    <w:rsid w:val="395D59E7"/>
    <w:rsid w:val="39A93932"/>
    <w:rsid w:val="3A915562"/>
    <w:rsid w:val="3B8D4765"/>
    <w:rsid w:val="3C000DBA"/>
    <w:rsid w:val="3DC045D3"/>
    <w:rsid w:val="3E504FFB"/>
    <w:rsid w:val="3E615CD0"/>
    <w:rsid w:val="3E9C47F6"/>
    <w:rsid w:val="3F8B0112"/>
    <w:rsid w:val="3FAB3095"/>
    <w:rsid w:val="3FE45947"/>
    <w:rsid w:val="401A0315"/>
    <w:rsid w:val="41242965"/>
    <w:rsid w:val="435671EA"/>
    <w:rsid w:val="440809E9"/>
    <w:rsid w:val="442407A6"/>
    <w:rsid w:val="44805EA1"/>
    <w:rsid w:val="45710696"/>
    <w:rsid w:val="46142B1B"/>
    <w:rsid w:val="47E60DD0"/>
    <w:rsid w:val="48735039"/>
    <w:rsid w:val="492C684B"/>
    <w:rsid w:val="49500594"/>
    <w:rsid w:val="49E7604E"/>
    <w:rsid w:val="4BF67CDD"/>
    <w:rsid w:val="4C871767"/>
    <w:rsid w:val="4CD53DAF"/>
    <w:rsid w:val="4D173441"/>
    <w:rsid w:val="4D603DD6"/>
    <w:rsid w:val="4EBF010F"/>
    <w:rsid w:val="4F471EB0"/>
    <w:rsid w:val="51331326"/>
    <w:rsid w:val="51740A7F"/>
    <w:rsid w:val="51A5541E"/>
    <w:rsid w:val="51C96242"/>
    <w:rsid w:val="53906AE1"/>
    <w:rsid w:val="54F46F60"/>
    <w:rsid w:val="55A37BEA"/>
    <w:rsid w:val="56362CD2"/>
    <w:rsid w:val="5784687B"/>
    <w:rsid w:val="57846959"/>
    <w:rsid w:val="578E6A87"/>
    <w:rsid w:val="586017FE"/>
    <w:rsid w:val="5AC2203A"/>
    <w:rsid w:val="5CBB3334"/>
    <w:rsid w:val="5D115FAF"/>
    <w:rsid w:val="62811722"/>
    <w:rsid w:val="62E75A72"/>
    <w:rsid w:val="64571880"/>
    <w:rsid w:val="649125B6"/>
    <w:rsid w:val="652F4C1A"/>
    <w:rsid w:val="658A5276"/>
    <w:rsid w:val="666D37F1"/>
    <w:rsid w:val="67087D8F"/>
    <w:rsid w:val="671F687E"/>
    <w:rsid w:val="675D5FCC"/>
    <w:rsid w:val="67F415F8"/>
    <w:rsid w:val="682640D1"/>
    <w:rsid w:val="684B73E5"/>
    <w:rsid w:val="6A047A2A"/>
    <w:rsid w:val="6EFB7548"/>
    <w:rsid w:val="6F3831C3"/>
    <w:rsid w:val="6F8B71C1"/>
    <w:rsid w:val="70753482"/>
    <w:rsid w:val="707B522A"/>
    <w:rsid w:val="73194D05"/>
    <w:rsid w:val="73A83B0E"/>
    <w:rsid w:val="743D747E"/>
    <w:rsid w:val="744D3EF9"/>
    <w:rsid w:val="74794411"/>
    <w:rsid w:val="75867C40"/>
    <w:rsid w:val="75B10B26"/>
    <w:rsid w:val="76432199"/>
    <w:rsid w:val="76F44829"/>
    <w:rsid w:val="77A267C0"/>
    <w:rsid w:val="78882278"/>
    <w:rsid w:val="78B118A6"/>
    <w:rsid w:val="79135044"/>
    <w:rsid w:val="7A7D0F99"/>
    <w:rsid w:val="7E4A0E7C"/>
    <w:rsid w:val="7EFD44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jc w:val="center"/>
    </w:pPr>
    <w:rPr>
      <w:rFonts w:eastAsia="黑体"/>
      <w:sz w:val="36"/>
      <w:szCs w:val="20"/>
    </w:rPr>
  </w:style>
  <w:style w:type="paragraph" w:styleId="5">
    <w:name w:val="Balloon Text"/>
    <w:basedOn w:val="1"/>
    <w:link w:val="13"/>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unhideWhenUsed/>
    <w:qFormat/>
    <w:uiPriority w:val="99"/>
    <w:rPr>
      <w:color w:val="800080"/>
      <w:u w:val="single"/>
    </w:rPr>
  </w:style>
  <w:style w:type="character" w:styleId="12">
    <w:name w:val="Hyperlink"/>
    <w:unhideWhenUsed/>
    <w:qFormat/>
    <w:uiPriority w:val="99"/>
    <w:rPr>
      <w:color w:val="0000FF"/>
      <w:u w:val="single"/>
    </w:rPr>
  </w:style>
  <w:style w:type="character" w:customStyle="1" w:styleId="13">
    <w:name w:val="批注框文本 Char"/>
    <w:link w:val="5"/>
    <w:semiHidden/>
    <w:qFormat/>
    <w:uiPriority w:val="99"/>
    <w:rPr>
      <w:kern w:val="2"/>
      <w:sz w:val="18"/>
      <w:szCs w:val="18"/>
    </w:rPr>
  </w:style>
  <w:style w:type="character" w:customStyle="1" w:styleId="14">
    <w:name w:val="页脚 Char"/>
    <w:link w:val="6"/>
    <w:qFormat/>
    <w:uiPriority w:val="99"/>
    <w:rPr>
      <w:kern w:val="2"/>
      <w:sz w:val="18"/>
      <w:szCs w:val="18"/>
    </w:rPr>
  </w:style>
  <w:style w:type="character" w:customStyle="1" w:styleId="15">
    <w:name w:val="页眉 Char"/>
    <w:link w:val="7"/>
    <w:qFormat/>
    <w:uiPriority w:val="99"/>
    <w:rPr>
      <w:kern w:val="2"/>
      <w:sz w:val="18"/>
      <w:szCs w:val="18"/>
    </w:rPr>
  </w:style>
  <w:style w:type="character" w:customStyle="1" w:styleId="16">
    <w:name w:val="font01"/>
    <w:qFormat/>
    <w:uiPriority w:val="0"/>
    <w:rPr>
      <w:rFonts w:hint="eastAsia" w:ascii="宋体" w:hAnsi="宋体" w:eastAsia="宋体" w:cs="宋体"/>
      <w:color w:val="000000"/>
      <w:sz w:val="22"/>
      <w:szCs w:val="22"/>
      <w:u w:val="none"/>
    </w:rPr>
  </w:style>
  <w:style w:type="character" w:customStyle="1" w:styleId="17">
    <w:name w:val="font21"/>
    <w:qFormat/>
    <w:uiPriority w:val="0"/>
    <w:rPr>
      <w:rFonts w:hint="eastAsia" w:ascii="宋体" w:hAnsi="宋体" w:eastAsia="宋体" w:cs="宋体"/>
      <w:color w:val="000000"/>
      <w:sz w:val="22"/>
      <w:szCs w:val="22"/>
      <w:u w:val="none"/>
    </w:rPr>
  </w:style>
  <w:style w:type="character" w:customStyle="1" w:styleId="18">
    <w:name w:val="font51"/>
    <w:qFormat/>
    <w:uiPriority w:val="0"/>
    <w:rPr>
      <w:rFonts w:hint="eastAsia" w:ascii="宋体" w:hAnsi="宋体" w:eastAsia="宋体" w:cs="宋体"/>
      <w:color w:val="000000"/>
      <w:sz w:val="24"/>
      <w:szCs w:val="24"/>
      <w:u w:val="none"/>
    </w:rPr>
  </w:style>
  <w:style w:type="character" w:customStyle="1" w:styleId="19">
    <w:name w:val="font11"/>
    <w:qFormat/>
    <w:uiPriority w:val="0"/>
    <w:rPr>
      <w:rFonts w:hint="eastAsia" w:ascii="宋体" w:hAnsi="宋体" w:eastAsia="宋体" w:cs="宋体"/>
      <w:color w:val="000000"/>
      <w:sz w:val="20"/>
      <w:szCs w:val="20"/>
      <w:u w:val="none"/>
    </w:rPr>
  </w:style>
  <w:style w:type="character" w:customStyle="1" w:styleId="20">
    <w:name w:val="font4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 User</Company>
  <Pages>32</Pages>
  <Words>8712</Words>
  <Characters>10428</Characters>
  <Lines>60</Lines>
  <Paragraphs>16</Paragraphs>
  <TotalTime>5</TotalTime>
  <ScaleCrop>false</ScaleCrop>
  <LinksUpToDate>false</LinksUpToDate>
  <CharactersWithSpaces>10643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2007-11-29T03:41:00Z</dcterms:created>
  <dc:creator>管理者</dc:creator>
  <cp:lastModifiedBy>Administrator</cp:lastModifiedBy>
  <cp:lastPrinted>2018-07-24T10:50:00Z</cp:lastPrinted>
  <dcterms:modified xsi:type="dcterms:W3CDTF">2022-09-06T08:27:27Z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D6FE59FED59F4DD9A06BEEDDDD9B032A</vt:lpwstr>
  </property>
</Properties>
</file>