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240" w:afterAutospacing="0"/>
        <w:ind w:firstLine="480"/>
        <w:jc w:val="center"/>
        <w:rPr>
          <w:rFonts w:hint="eastAsia"/>
          <w:color w:val="333333"/>
          <w:sz w:val="44"/>
          <w:szCs w:val="44"/>
        </w:rPr>
      </w:pPr>
      <w:bookmarkStart w:id="0" w:name="_GoBack"/>
      <w:r>
        <w:rPr>
          <w:rFonts w:hint="eastAsia"/>
          <w:color w:val="333333"/>
          <w:sz w:val="44"/>
          <w:szCs w:val="44"/>
        </w:rPr>
        <w:t>建安区金融机构支持地方经济发展综合激励办法（征求意见稿）</w:t>
      </w:r>
    </w:p>
    <w:bookmarkEnd w:id="0"/>
    <w:p>
      <w:pPr>
        <w:pStyle w:val="3"/>
        <w:shd w:val="clear" w:color="auto" w:fill="FFFFFF"/>
        <w:spacing w:before="0" w:beforeAutospacing="0" w:after="240" w:afterAutospacing="0"/>
        <w:ind w:firstLine="480"/>
        <w:jc w:val="center"/>
        <w:rPr>
          <w:rFonts w:hint="eastAsia"/>
          <w:color w:val="333333"/>
        </w:rPr>
      </w:pPr>
    </w:p>
    <w:p>
      <w:pPr>
        <w:pStyle w:val="3"/>
        <w:shd w:val="clear" w:color="auto" w:fill="FFFFFF"/>
        <w:spacing w:before="0" w:beforeAutospacing="0" w:after="240" w:afterAutospacing="0"/>
        <w:jc w:val="center"/>
        <w:rPr>
          <w:rFonts w:hint="eastAsia" w:ascii="黑体" w:hAnsi="黑体" w:eastAsia="黑体"/>
          <w:color w:val="333333"/>
          <w:sz w:val="32"/>
          <w:szCs w:val="32"/>
        </w:rPr>
      </w:pPr>
      <w:r>
        <w:rPr>
          <w:rFonts w:hint="eastAsia" w:ascii="黑体" w:hAnsi="黑体" w:eastAsia="黑体"/>
          <w:color w:val="333333"/>
          <w:sz w:val="32"/>
          <w:szCs w:val="32"/>
        </w:rPr>
        <w:t>第一章</w:t>
      </w:r>
      <w:r>
        <w:rPr>
          <w:rFonts w:hint="eastAsia" w:eastAsia="黑体"/>
          <w:color w:val="333333"/>
          <w:sz w:val="32"/>
          <w:szCs w:val="32"/>
        </w:rPr>
        <w:t> </w:t>
      </w:r>
      <w:r>
        <w:rPr>
          <w:rFonts w:hint="eastAsia" w:ascii="黑体" w:hAnsi="黑体" w:eastAsia="黑体"/>
          <w:color w:val="333333"/>
          <w:sz w:val="32"/>
          <w:szCs w:val="32"/>
        </w:rPr>
        <w:t>总则</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第一条</w:t>
      </w:r>
      <w:r>
        <w:rPr>
          <w:rFonts w:hint="eastAsia" w:eastAsia="仿宋_GB2312"/>
          <w:color w:val="333333"/>
          <w:sz w:val="32"/>
          <w:szCs w:val="32"/>
        </w:rPr>
        <w:t> </w:t>
      </w:r>
      <w:r>
        <w:rPr>
          <w:rFonts w:hint="eastAsia" w:ascii="仿宋_GB2312" w:eastAsia="仿宋_GB2312"/>
          <w:color w:val="333333"/>
          <w:sz w:val="32"/>
          <w:szCs w:val="32"/>
        </w:rPr>
        <w:t>为进一步引导和激励金融机构加大对我区经济社会发展的支持力度，不断强化资金保障，助推我区经济高质量发展，根据《许昌市人民政府办公室关于印发许昌市金融业支持地方经济发展综合激励办法的通知》（许政办〔2022〕9号）精神，结合我区实际，制定本办法。</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第二条</w:t>
      </w:r>
      <w:r>
        <w:rPr>
          <w:rFonts w:hint="eastAsia" w:eastAsia="仿宋_GB2312"/>
          <w:color w:val="333333"/>
          <w:sz w:val="32"/>
          <w:szCs w:val="32"/>
        </w:rPr>
        <w:t> </w:t>
      </w:r>
      <w:r>
        <w:rPr>
          <w:rFonts w:hint="eastAsia" w:ascii="仿宋_GB2312" w:eastAsia="仿宋_GB2312"/>
          <w:color w:val="333333"/>
          <w:sz w:val="32"/>
          <w:szCs w:val="32"/>
        </w:rPr>
        <w:t>激励对象为区级银行业、保险业等金融机构和融资担保公司、小额贷款公司、典当行等地方金融组织。</w:t>
      </w:r>
    </w:p>
    <w:p>
      <w:pPr>
        <w:pStyle w:val="3"/>
        <w:shd w:val="clear" w:color="auto" w:fill="FFFFFF"/>
        <w:spacing w:before="0" w:beforeAutospacing="0" w:after="240" w:afterAutospacing="0"/>
        <w:jc w:val="center"/>
        <w:rPr>
          <w:rFonts w:hint="eastAsia" w:ascii="黑体" w:hAnsi="黑体" w:eastAsia="黑体"/>
          <w:color w:val="333333"/>
          <w:sz w:val="32"/>
          <w:szCs w:val="32"/>
        </w:rPr>
      </w:pPr>
      <w:r>
        <w:rPr>
          <w:rFonts w:hint="eastAsia" w:ascii="黑体" w:hAnsi="黑体" w:eastAsia="黑体"/>
          <w:color w:val="333333"/>
          <w:sz w:val="32"/>
          <w:szCs w:val="32"/>
        </w:rPr>
        <w:t>第二章 测评项目</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第三条</w:t>
      </w:r>
      <w:r>
        <w:rPr>
          <w:rFonts w:hint="eastAsia" w:eastAsia="仿宋_GB2312"/>
          <w:color w:val="333333"/>
          <w:sz w:val="32"/>
          <w:szCs w:val="32"/>
        </w:rPr>
        <w:t> </w:t>
      </w:r>
      <w:r>
        <w:rPr>
          <w:rFonts w:hint="eastAsia" w:ascii="仿宋_GB2312" w:eastAsia="仿宋_GB2312"/>
          <w:color w:val="333333"/>
          <w:sz w:val="32"/>
          <w:szCs w:val="32"/>
        </w:rPr>
        <w:t>金融机构测评项目由区金融工作局、人民银行建安支行、财政局、税务局会同有关部门制定，保持相对稳定。测评项目设置和权重，随国家金融政策变动适时调整完善。</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第四条</w:t>
      </w:r>
      <w:r>
        <w:rPr>
          <w:rFonts w:hint="eastAsia" w:eastAsia="仿宋_GB2312"/>
          <w:color w:val="333333"/>
          <w:sz w:val="32"/>
          <w:szCs w:val="32"/>
        </w:rPr>
        <w:t> </w:t>
      </w:r>
      <w:r>
        <w:rPr>
          <w:rFonts w:hint="eastAsia" w:ascii="仿宋_GB2312" w:eastAsia="仿宋_GB2312"/>
          <w:color w:val="333333"/>
          <w:sz w:val="32"/>
          <w:szCs w:val="32"/>
        </w:rPr>
        <w:t>银行业测评项目突出支持实体经济、支持高质量发展、助力乡村振兴、防控金融风险等重点工作，共设立信贷总量、信贷结构、不良化解、税收贡献、社会责任等5类测评项目。当年新设立的银行不参与测评。</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保险业测评项目共设立引进保险资金、政策性保险拓展、税收贡献、保费收支、履行社会责任等5类测评项目。</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融资担保公司、小额贷款公司、典当行等地方金融组织测评项目由区金融工作局另行制定。</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第五条</w:t>
      </w:r>
      <w:r>
        <w:rPr>
          <w:rFonts w:hint="eastAsia" w:eastAsia="仿宋_GB2312"/>
          <w:color w:val="333333"/>
          <w:sz w:val="32"/>
          <w:szCs w:val="32"/>
        </w:rPr>
        <w:t> </w:t>
      </w:r>
      <w:r>
        <w:rPr>
          <w:rFonts w:hint="eastAsia" w:ascii="仿宋_GB2312" w:eastAsia="仿宋_GB2312"/>
          <w:color w:val="333333"/>
          <w:sz w:val="32"/>
          <w:szCs w:val="32"/>
        </w:rPr>
        <w:t>对金融创新、区委、区政府通报表扬等方面予以加分鼓励；对发生重大风险、协调配合不力、违背“万人助企联乡帮村”要求盲目抽贷压贷等方面予以扣分，性质严重的一票否决。</w:t>
      </w:r>
    </w:p>
    <w:p>
      <w:pPr>
        <w:pStyle w:val="3"/>
        <w:shd w:val="clear" w:color="auto" w:fill="FFFFFF"/>
        <w:spacing w:before="0" w:beforeAutospacing="0" w:after="240" w:afterAutospacing="0"/>
        <w:jc w:val="center"/>
        <w:rPr>
          <w:rFonts w:hint="eastAsia" w:ascii="黑体" w:hAnsi="黑体" w:eastAsia="黑体"/>
          <w:color w:val="333333"/>
          <w:sz w:val="32"/>
          <w:szCs w:val="32"/>
        </w:rPr>
      </w:pPr>
      <w:r>
        <w:rPr>
          <w:rFonts w:hint="eastAsia" w:ascii="黑体" w:hAnsi="黑体" w:eastAsia="黑体"/>
          <w:color w:val="333333"/>
          <w:sz w:val="32"/>
          <w:szCs w:val="32"/>
        </w:rPr>
        <w:t>第三章 组织实施</w:t>
      </w:r>
    </w:p>
    <w:p>
      <w:pPr>
        <w:pStyle w:val="3"/>
        <w:shd w:val="clear" w:color="auto" w:fill="FFFFFF"/>
        <w:spacing w:before="0" w:beforeAutospacing="0" w:after="0" w:afterAutospacing="0"/>
        <w:ind w:firstLine="480"/>
        <w:jc w:val="both"/>
        <w:rPr>
          <w:rFonts w:hint="eastAsia" w:ascii="仿宋_GB2312" w:eastAsia="仿宋_GB2312"/>
          <w:color w:val="333333"/>
          <w:sz w:val="32"/>
          <w:szCs w:val="32"/>
        </w:rPr>
      </w:pPr>
      <w:r>
        <w:rPr>
          <w:rFonts w:hint="eastAsia" w:ascii="仿宋_GB2312" w:eastAsia="仿宋_GB2312"/>
          <w:color w:val="333333"/>
          <w:sz w:val="32"/>
          <w:szCs w:val="32"/>
        </w:rPr>
        <w:t>第六条</w:t>
      </w:r>
      <w:r>
        <w:rPr>
          <w:rFonts w:hint="eastAsia" w:eastAsia="仿宋_GB2312"/>
          <w:color w:val="333333"/>
          <w:sz w:val="32"/>
          <w:szCs w:val="32"/>
        </w:rPr>
        <w:t> </w:t>
      </w:r>
      <w:r>
        <w:rPr>
          <w:rFonts w:hint="eastAsia" w:ascii="仿宋_GB2312" w:eastAsia="仿宋_GB2312"/>
          <w:color w:val="333333"/>
          <w:sz w:val="32"/>
          <w:szCs w:val="32"/>
        </w:rPr>
        <w:t>区政府成立由常务副区长任组长，区金融工作局、人民银行建安支行、区财政局、区税务局等部门为成员单位的区金融支持地方经济发展综合激励领导小组，下设办公室（设在区金融工作局），负责激励办法的制定调整、组织实施和日常协调等工作。</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第七条</w:t>
      </w:r>
      <w:r>
        <w:rPr>
          <w:rFonts w:hint="eastAsia" w:eastAsia="仿宋_GB2312"/>
          <w:color w:val="333333"/>
          <w:sz w:val="32"/>
          <w:szCs w:val="32"/>
        </w:rPr>
        <w:t> </w:t>
      </w:r>
      <w:r>
        <w:rPr>
          <w:rFonts w:hint="eastAsia" w:ascii="仿宋_GB2312" w:eastAsia="仿宋_GB2312"/>
          <w:color w:val="333333"/>
          <w:sz w:val="32"/>
          <w:szCs w:val="32"/>
        </w:rPr>
        <w:t>测评数据由区金融工作局、人民银行建安支行、区税务局、区财政局等相关单位在每季度末次月20日前向区综合激励领导小组办公室报送，并对所提供数据的真实性、完整性负责。</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第八条</w:t>
      </w:r>
      <w:r>
        <w:rPr>
          <w:rFonts w:hint="eastAsia" w:eastAsia="仿宋_GB2312"/>
          <w:color w:val="333333"/>
          <w:sz w:val="32"/>
          <w:szCs w:val="32"/>
        </w:rPr>
        <w:t> </w:t>
      </w:r>
      <w:r>
        <w:rPr>
          <w:rFonts w:hint="eastAsia" w:ascii="仿宋_GB2312" w:eastAsia="仿宋_GB2312"/>
          <w:color w:val="333333"/>
          <w:sz w:val="32"/>
          <w:szCs w:val="32"/>
        </w:rPr>
        <w:t>测评注重年度测评与月度、季度监测相结合，根据各项测评项目年度完成状态、完成程度等情况得分。各金融机构的年度得分=第一季度得分×0.4+第二季度得分×0.3+第三季度得分×0.2+第四季度得分×0.1。</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月度、季度监测结果由综合激励领导小组办公室进行通报。相关责任部门应当加强所负责测评项目的年度目标完成情况监测分析，对进展滞后的及时采取针对性措施。</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第九条</w:t>
      </w:r>
      <w:r>
        <w:rPr>
          <w:rFonts w:hint="eastAsia" w:eastAsia="仿宋_GB2312"/>
          <w:color w:val="333333"/>
          <w:sz w:val="32"/>
          <w:szCs w:val="32"/>
        </w:rPr>
        <w:t> </w:t>
      </w:r>
      <w:r>
        <w:rPr>
          <w:rFonts w:hint="eastAsia" w:ascii="仿宋_GB2312" w:eastAsia="仿宋_GB2312"/>
          <w:color w:val="333333"/>
          <w:sz w:val="32"/>
          <w:szCs w:val="32"/>
        </w:rPr>
        <w:t>区金融工作局会同人民银行建安支行、区财政局依据本办法对各金融机构季度、年度工作实施测评，提出初步测评结果，经区综合激励领导小组复审，区政府同意后公布。</w:t>
      </w:r>
    </w:p>
    <w:p>
      <w:pPr>
        <w:pStyle w:val="3"/>
        <w:shd w:val="clear" w:color="auto" w:fill="FFFFFF"/>
        <w:spacing w:before="0" w:beforeAutospacing="0" w:after="240" w:afterAutospacing="0"/>
        <w:jc w:val="center"/>
        <w:rPr>
          <w:rFonts w:hint="eastAsia" w:ascii="黑体" w:hAnsi="黑体" w:eastAsia="黑体"/>
          <w:color w:val="333333"/>
          <w:sz w:val="32"/>
          <w:szCs w:val="32"/>
        </w:rPr>
      </w:pPr>
      <w:r>
        <w:rPr>
          <w:rFonts w:hint="eastAsia" w:ascii="黑体" w:hAnsi="黑体" w:eastAsia="黑体"/>
          <w:color w:val="333333"/>
          <w:sz w:val="32"/>
          <w:szCs w:val="32"/>
        </w:rPr>
        <w:t>第四章 结果运用</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第十条</w:t>
      </w:r>
      <w:r>
        <w:rPr>
          <w:rFonts w:hint="eastAsia" w:eastAsia="仿宋_GB2312"/>
          <w:color w:val="333333"/>
          <w:sz w:val="32"/>
          <w:szCs w:val="32"/>
        </w:rPr>
        <w:t> </w:t>
      </w:r>
      <w:r>
        <w:rPr>
          <w:rFonts w:hint="eastAsia" w:ascii="仿宋_GB2312" w:eastAsia="仿宋_GB2312"/>
          <w:color w:val="333333"/>
          <w:sz w:val="32"/>
          <w:szCs w:val="32"/>
        </w:rPr>
        <w:t>测评结果将作为对辖区金融机构给予相关激励奖励的重要依据。</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按照测评结果设立年度奖项，对年度测评排名前5名的银行业机构，授予“建安区银行业机构突出贡献单位”并给予奖励；对年度测评排名前2名的产险和寿险公司，授予“建安区保险业机构突出贡献单位”并给予奖励。</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对获得表彰的金融机构，以区政府名义向其上级单位通报表彰情况并建议给予奖励。银行业机构测评结果作为区财政部门调整财政存款的主要依据，并在区财政局开展全区区直财政专户资金存放管理考评工作中占30%。保险业机构测评结果作为建安区按照原则上不低于60%的权重选择从事政府性付费或补助的保险服务对象。</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对测评结果为后2名的银行业、保险业机构，综合激励领导小组将测评结果通报其上级单位。</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第十一条</w:t>
      </w:r>
      <w:r>
        <w:rPr>
          <w:rFonts w:hint="eastAsia" w:eastAsia="仿宋_GB2312"/>
          <w:color w:val="333333"/>
          <w:sz w:val="32"/>
          <w:szCs w:val="32"/>
        </w:rPr>
        <w:t> </w:t>
      </w:r>
      <w:r>
        <w:rPr>
          <w:rFonts w:hint="eastAsia" w:ascii="仿宋_GB2312" w:eastAsia="仿宋_GB2312"/>
          <w:color w:val="333333"/>
          <w:sz w:val="32"/>
          <w:szCs w:val="32"/>
        </w:rPr>
        <w:t>对金融管理部门同时设置奖励，参照区直单位标准进行激励测评。</w:t>
      </w:r>
    </w:p>
    <w:p>
      <w:pPr>
        <w:pStyle w:val="3"/>
        <w:shd w:val="clear" w:color="auto" w:fill="FFFFFF"/>
        <w:spacing w:before="0" w:beforeAutospacing="0" w:after="240" w:afterAutospacing="0"/>
        <w:jc w:val="center"/>
        <w:rPr>
          <w:rFonts w:hint="eastAsia" w:ascii="黑体" w:hAnsi="黑体" w:eastAsia="黑体"/>
          <w:color w:val="333333"/>
          <w:sz w:val="32"/>
          <w:szCs w:val="32"/>
        </w:rPr>
      </w:pPr>
      <w:r>
        <w:rPr>
          <w:rFonts w:hint="eastAsia" w:ascii="黑体" w:hAnsi="黑体" w:eastAsia="黑体"/>
          <w:color w:val="333333"/>
          <w:sz w:val="32"/>
          <w:szCs w:val="32"/>
        </w:rPr>
        <w:t>第五章 附 则</w:t>
      </w:r>
    </w:p>
    <w:p>
      <w:pPr>
        <w:pStyle w:val="3"/>
        <w:shd w:val="clear" w:color="auto" w:fill="FFFFFF"/>
        <w:spacing w:before="0" w:beforeAutospacing="0" w:after="0" w:afterAutospacing="0"/>
        <w:ind w:firstLine="640" w:firstLineChars="200"/>
        <w:jc w:val="both"/>
        <w:rPr>
          <w:rFonts w:hint="eastAsia" w:ascii="仿宋_GB2312" w:eastAsia="仿宋_GB2312"/>
          <w:color w:val="333333"/>
          <w:sz w:val="32"/>
          <w:szCs w:val="32"/>
        </w:rPr>
      </w:pPr>
      <w:r>
        <w:rPr>
          <w:rFonts w:hint="eastAsia" w:ascii="仿宋_GB2312" w:eastAsia="仿宋_GB2312"/>
          <w:color w:val="333333"/>
          <w:sz w:val="32"/>
          <w:szCs w:val="32"/>
        </w:rPr>
        <w:t>第十二条</w:t>
      </w:r>
      <w:r>
        <w:rPr>
          <w:rFonts w:hint="eastAsia" w:eastAsia="仿宋_GB2312"/>
          <w:color w:val="333333"/>
          <w:sz w:val="32"/>
          <w:szCs w:val="32"/>
        </w:rPr>
        <w:t> </w:t>
      </w:r>
      <w:r>
        <w:rPr>
          <w:rFonts w:hint="eastAsia" w:ascii="仿宋_GB2312" w:eastAsia="仿宋_GB2312"/>
          <w:color w:val="333333"/>
          <w:sz w:val="32"/>
          <w:szCs w:val="32"/>
        </w:rPr>
        <w:t>本办法由区金融工作局、人民银行建安支行负责解释，自发布之日起施行。</w:t>
      </w:r>
    </w:p>
    <w:p>
      <w:pPr>
        <w:pStyle w:val="2"/>
        <w:shd w:val="clear" w:color="auto" w:fill="FFFFFF"/>
        <w:spacing w:before="0" w:beforeAutospacing="0" w:after="0" w:afterAutospacing="0" w:line="560" w:lineRule="exact"/>
        <w:rPr>
          <w:rFonts w:hint="eastAsia"/>
          <w:b w:val="0"/>
          <w:bCs w:val="0"/>
          <w:color w:val="454545"/>
          <w:sz w:val="30"/>
          <w:szCs w:val="30"/>
        </w:rPr>
      </w:pPr>
      <w:r>
        <w:rPr>
          <w:rFonts w:hint="eastAsia"/>
          <w:b w:val="0"/>
          <w:bCs w:val="0"/>
          <w:color w:val="454545"/>
          <w:sz w:val="30"/>
          <w:szCs w:val="30"/>
        </w:rPr>
        <w:t xml:space="preserve">    </w:t>
      </w: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spacing w:line="560" w:lineRule="exact"/>
        <w:rPr>
          <w:rFonts w:ascii="方正小标宋简体" w:hAnsi="黑体" w:eastAsia="黑体"/>
          <w:sz w:val="44"/>
          <w:szCs w:val="44"/>
        </w:rPr>
      </w:pPr>
      <w:r>
        <w:rPr>
          <w:rFonts w:hint="eastAsia" w:ascii="黑体" w:hAnsi="黑体" w:eastAsia="黑体"/>
        </w:rPr>
        <w:t>附件1</w:t>
      </w:r>
    </w:p>
    <w:p>
      <w:pPr>
        <w:spacing w:line="560" w:lineRule="exact"/>
        <w:ind w:right="-399" w:rightChars="-190"/>
        <w:jc w:val="center"/>
        <w:rPr>
          <w:rFonts w:hint="eastAsia" w:ascii="方正小标宋简体" w:hAnsi="Calibri" w:eastAsia="方正小标宋简体"/>
          <w:kern w:val="0"/>
          <w:sz w:val="40"/>
          <w:szCs w:val="40"/>
        </w:rPr>
      </w:pPr>
      <w:r>
        <w:rPr>
          <w:rFonts w:hint="eastAsia" w:ascii="方正小标宋简体" w:eastAsia="方正小标宋简体"/>
          <w:kern w:val="0"/>
          <w:sz w:val="40"/>
          <w:szCs w:val="40"/>
        </w:rPr>
        <w:t>银行业机构测评项目表</w:t>
      </w:r>
    </w:p>
    <w:tbl>
      <w:tblPr>
        <w:tblStyle w:val="4"/>
        <w:tblW w:w="879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00"/>
        <w:gridCol w:w="850"/>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测评项目</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分值</w:t>
            </w: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09"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信贷总量</w:t>
            </w:r>
            <w:r>
              <w:rPr>
                <w:rFonts w:ascii="仿宋_GB2312"/>
                <w:spacing w:val="-6"/>
                <w:szCs w:val="21"/>
              </w:rPr>
              <w:t>（</w:t>
            </w:r>
            <w:r>
              <w:rPr>
                <w:rFonts w:hint="eastAsia"/>
                <w:spacing w:val="-6"/>
                <w:szCs w:val="21"/>
              </w:rPr>
              <w:t>30</w:t>
            </w:r>
            <w:r>
              <w:rPr>
                <w:rFonts w:ascii="仿宋_GB2312"/>
                <w:spacing w:val="-6"/>
                <w:szCs w:val="21"/>
              </w:rPr>
              <w:t>分）</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ascii="仿宋_GB2312"/>
                <w:spacing w:val="-6"/>
                <w:szCs w:val="21"/>
              </w:rPr>
              <w:t>新增投放</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15</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r>
              <w:rPr>
                <w:rFonts w:hint="eastAsia" w:ascii="仿宋_GB2312"/>
                <w:spacing w:val="-6"/>
                <w:szCs w:val="21"/>
              </w:rPr>
              <w:t>按当年新增表内贷款排名。第一名</w:t>
            </w:r>
            <w:r>
              <w:rPr>
                <w:rFonts w:hint="eastAsia"/>
                <w:spacing w:val="-6"/>
                <w:szCs w:val="21"/>
              </w:rPr>
              <w:t>15</w:t>
            </w:r>
            <w:r>
              <w:rPr>
                <w:rFonts w:hint="eastAsia" w:ascii="仿宋_GB2312"/>
                <w:spacing w:val="-6"/>
                <w:szCs w:val="21"/>
              </w:rPr>
              <w:t>分，每落后一个位次减</w:t>
            </w:r>
            <w:r>
              <w:rPr>
                <w:rFonts w:hint="eastAsia"/>
                <w:spacing w:val="-6"/>
                <w:szCs w:val="21"/>
              </w:rPr>
              <w:t>1.2</w:t>
            </w:r>
            <w:r>
              <w:rPr>
                <w:rFonts w:hint="eastAsia" w:ascii="仿宋_GB2312"/>
                <w:spacing w:val="-6"/>
                <w:szCs w:val="21"/>
              </w:rPr>
              <w:t>分。无增长不得分。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投放余额</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15</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hint="eastAsia" w:ascii="仿宋_GB2312"/>
                <w:spacing w:val="-6"/>
                <w:szCs w:val="21"/>
              </w:rPr>
              <w:t>按表内贷款余额排名。第一名</w:t>
            </w:r>
            <w:r>
              <w:rPr>
                <w:rFonts w:hint="eastAsia"/>
                <w:spacing w:val="-6"/>
                <w:szCs w:val="21"/>
              </w:rPr>
              <w:t>15</w:t>
            </w:r>
            <w:r>
              <w:rPr>
                <w:rFonts w:hint="eastAsia" w:ascii="仿宋_GB2312"/>
                <w:spacing w:val="-6"/>
                <w:szCs w:val="21"/>
              </w:rPr>
              <w:t>分，每落后一个位次减</w:t>
            </w:r>
            <w:r>
              <w:rPr>
                <w:rFonts w:hint="eastAsia"/>
                <w:spacing w:val="-6"/>
                <w:szCs w:val="21"/>
              </w:rPr>
              <w:t>0.9</w:t>
            </w:r>
            <w:r>
              <w:rPr>
                <w:rFonts w:hint="eastAsia" w:ascii="仿宋_GB2312"/>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09"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信贷结构</w:t>
            </w:r>
          </w:p>
          <w:p>
            <w:pPr>
              <w:widowControl/>
              <w:spacing w:line="240" w:lineRule="exact"/>
              <w:jc w:val="center"/>
              <w:rPr>
                <w:rFonts w:ascii="Calibri" w:hAnsi="Calibri" w:eastAsia="仿宋_GB2312" w:cs="宋体"/>
                <w:spacing w:val="-6"/>
                <w:szCs w:val="21"/>
              </w:rPr>
            </w:pPr>
            <w:r>
              <w:rPr>
                <w:rFonts w:ascii="仿宋_GB2312"/>
                <w:spacing w:val="-6"/>
                <w:szCs w:val="21"/>
              </w:rPr>
              <w:t>（</w:t>
            </w:r>
            <w:r>
              <w:rPr>
                <w:rFonts w:hint="eastAsia"/>
                <w:spacing w:val="-6"/>
                <w:szCs w:val="21"/>
              </w:rPr>
              <w:t>40</w:t>
            </w:r>
            <w:r>
              <w:rPr>
                <w:rFonts w:ascii="仿宋_GB2312"/>
                <w:spacing w:val="-6"/>
                <w:szCs w:val="21"/>
              </w:rPr>
              <w:t>分）</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支持高质量发展</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r>
              <w:rPr>
                <w:rFonts w:hint="eastAsia" w:ascii="仿宋_GB2312"/>
                <w:spacing w:val="-6"/>
                <w:szCs w:val="21"/>
              </w:rPr>
              <w:t>按制造业行业贷款余额排名。第一名</w:t>
            </w:r>
            <w:r>
              <w:rPr>
                <w:rFonts w:hint="eastAsia"/>
                <w:spacing w:val="-6"/>
                <w:szCs w:val="21"/>
              </w:rPr>
              <w:t>2</w:t>
            </w:r>
            <w:r>
              <w:rPr>
                <w:rFonts w:hint="eastAsia" w:ascii="仿宋_GB2312"/>
                <w:spacing w:val="-6"/>
                <w:szCs w:val="21"/>
              </w:rPr>
              <w:t>分，每落后一个位次减</w:t>
            </w:r>
            <w:r>
              <w:rPr>
                <w:rFonts w:hint="eastAsia"/>
                <w:spacing w:val="-6"/>
                <w:szCs w:val="21"/>
              </w:rPr>
              <w:t>0.1</w:t>
            </w:r>
            <w:r>
              <w:rPr>
                <w:rFonts w:hint="eastAsia" w:ascii="仿宋_GB2312"/>
                <w:spacing w:val="-6"/>
                <w:szCs w:val="21"/>
              </w:rPr>
              <w:t>分。</w:t>
            </w:r>
          </w:p>
          <w:p>
            <w:pPr>
              <w:spacing w:line="280" w:lineRule="exact"/>
              <w:rPr>
                <w:rFonts w:ascii="Calibri" w:hAnsi="Calibri" w:eastAsia="仿宋_GB2312" w:cs="宋体"/>
                <w:spacing w:val="-6"/>
                <w:szCs w:val="21"/>
              </w:rPr>
            </w:pPr>
            <w:r>
              <w:rPr>
                <w:rFonts w:hint="eastAsia" w:ascii="仿宋_GB2312"/>
                <w:spacing w:val="-6"/>
                <w:szCs w:val="21"/>
              </w:rPr>
              <w:t>按制造业贷款较上年同期增速排名。第一名</w:t>
            </w:r>
            <w:r>
              <w:rPr>
                <w:rFonts w:hint="eastAsia"/>
                <w:spacing w:val="-6"/>
                <w:szCs w:val="21"/>
              </w:rPr>
              <w:t>8</w:t>
            </w:r>
            <w:r>
              <w:rPr>
                <w:rFonts w:hint="eastAsia" w:ascii="仿宋_GB2312"/>
                <w:spacing w:val="-6"/>
                <w:szCs w:val="21"/>
              </w:rPr>
              <w:t>分，每落后一个位次减</w:t>
            </w:r>
            <w:r>
              <w:rPr>
                <w:rFonts w:hint="eastAsia"/>
                <w:spacing w:val="-6"/>
                <w:szCs w:val="21"/>
              </w:rPr>
              <w:t>0.5</w:t>
            </w:r>
            <w:r>
              <w:rPr>
                <w:rFonts w:hint="eastAsia" w:ascii="仿宋_GB2312"/>
                <w:spacing w:val="-6"/>
                <w:szCs w:val="21"/>
              </w:rPr>
              <w:t>分。无增长不得分。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ascii="仿宋_GB2312"/>
                <w:spacing w:val="-6"/>
                <w:szCs w:val="21"/>
              </w:rPr>
              <w:t>普惠小微</w:t>
            </w:r>
          </w:p>
          <w:p>
            <w:pPr>
              <w:spacing w:line="240" w:lineRule="exact"/>
              <w:jc w:val="center"/>
              <w:rPr>
                <w:rFonts w:ascii="仿宋_GB2312" w:hAnsi="Calibri" w:eastAsia="仿宋_GB2312" w:cs="宋体"/>
                <w:spacing w:val="-6"/>
                <w:szCs w:val="21"/>
              </w:rPr>
            </w:pPr>
            <w:r>
              <w:rPr>
                <w:rFonts w:hint="eastAsia" w:ascii="仿宋_GB2312"/>
                <w:spacing w:val="-6"/>
                <w:szCs w:val="21"/>
              </w:rPr>
              <w:t>企业贷款</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r>
              <w:rPr>
                <w:rFonts w:hint="eastAsia" w:ascii="仿宋_GB2312"/>
                <w:spacing w:val="-6"/>
                <w:szCs w:val="21"/>
              </w:rPr>
              <w:t>按普惠小微企业贷款余额排名。第一名</w:t>
            </w:r>
            <w:r>
              <w:rPr>
                <w:rFonts w:hint="eastAsia"/>
                <w:spacing w:val="-6"/>
                <w:szCs w:val="21"/>
              </w:rPr>
              <w:t>2</w:t>
            </w:r>
            <w:r>
              <w:rPr>
                <w:rFonts w:hint="eastAsia" w:ascii="仿宋_GB2312"/>
                <w:spacing w:val="-6"/>
                <w:szCs w:val="21"/>
              </w:rPr>
              <w:t>分，每落后一个位次减</w:t>
            </w:r>
            <w:r>
              <w:rPr>
                <w:rFonts w:hint="eastAsia"/>
                <w:spacing w:val="-6"/>
                <w:szCs w:val="21"/>
              </w:rPr>
              <w:t>0.1</w:t>
            </w:r>
            <w:r>
              <w:rPr>
                <w:rFonts w:hint="eastAsia" w:ascii="仿宋_GB2312"/>
                <w:spacing w:val="-6"/>
                <w:szCs w:val="21"/>
              </w:rPr>
              <w:t>分。农发行取平均分。</w:t>
            </w:r>
          </w:p>
          <w:p>
            <w:pPr>
              <w:spacing w:line="280" w:lineRule="exact"/>
              <w:rPr>
                <w:rFonts w:ascii="仿宋_GB2312" w:hAnsi="Calibri" w:eastAsia="仿宋_GB2312" w:cs="宋体"/>
                <w:spacing w:val="-6"/>
                <w:szCs w:val="21"/>
              </w:rPr>
            </w:pPr>
            <w:r>
              <w:rPr>
                <w:rFonts w:hint="eastAsia" w:ascii="仿宋_GB2312"/>
                <w:spacing w:val="-6"/>
                <w:szCs w:val="21"/>
              </w:rPr>
              <w:t>按普惠小微企业贷款较上年同期增速排名。第一名</w:t>
            </w:r>
            <w:r>
              <w:rPr>
                <w:rFonts w:hint="eastAsia"/>
                <w:spacing w:val="-6"/>
                <w:szCs w:val="21"/>
              </w:rPr>
              <w:t>8</w:t>
            </w:r>
            <w:r>
              <w:rPr>
                <w:rFonts w:hint="eastAsia" w:ascii="仿宋_GB2312"/>
                <w:spacing w:val="-6"/>
                <w:szCs w:val="21"/>
              </w:rPr>
              <w:t>分，每落后一个位次减</w:t>
            </w:r>
            <w:r>
              <w:rPr>
                <w:rFonts w:hint="eastAsia"/>
                <w:spacing w:val="-6"/>
                <w:szCs w:val="21"/>
              </w:rPr>
              <w:t>0.5</w:t>
            </w:r>
            <w:r>
              <w:rPr>
                <w:rFonts w:hint="eastAsia" w:ascii="仿宋_GB2312"/>
                <w:spacing w:val="-6"/>
                <w:szCs w:val="21"/>
              </w:rPr>
              <w:t>分。无增长不得分，农发行取平均分。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ascii="仿宋_GB2312"/>
                <w:spacing w:val="-6"/>
                <w:szCs w:val="21"/>
              </w:rPr>
              <w:t>支持</w:t>
            </w:r>
          </w:p>
          <w:p>
            <w:pPr>
              <w:spacing w:line="240" w:lineRule="exact"/>
              <w:jc w:val="center"/>
              <w:rPr>
                <w:rFonts w:ascii="Calibri" w:hAnsi="Calibri" w:eastAsia="仿宋_GB2312" w:cs="宋体"/>
                <w:spacing w:val="-6"/>
                <w:szCs w:val="21"/>
              </w:rPr>
            </w:pPr>
            <w:r>
              <w:rPr>
                <w:rFonts w:hint="eastAsia" w:ascii="仿宋_GB2312"/>
                <w:spacing w:val="-6"/>
                <w:szCs w:val="21"/>
              </w:rPr>
              <w:t>乡村振兴</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r>
              <w:rPr>
                <w:rFonts w:hint="eastAsia" w:ascii="仿宋_GB2312"/>
                <w:spacing w:val="-6"/>
                <w:szCs w:val="21"/>
              </w:rPr>
              <w:t>按涉农贷款余额排名。第一名得</w:t>
            </w:r>
            <w:r>
              <w:rPr>
                <w:rFonts w:hint="eastAsia"/>
                <w:spacing w:val="-6"/>
                <w:szCs w:val="21"/>
              </w:rPr>
              <w:t>2</w:t>
            </w:r>
            <w:r>
              <w:rPr>
                <w:rFonts w:hint="eastAsia" w:ascii="仿宋_GB2312"/>
                <w:spacing w:val="-6"/>
                <w:szCs w:val="21"/>
              </w:rPr>
              <w:t>分，每落后一个位次减</w:t>
            </w:r>
            <w:r>
              <w:rPr>
                <w:rFonts w:hint="eastAsia"/>
                <w:spacing w:val="-6"/>
                <w:szCs w:val="21"/>
              </w:rPr>
              <w:t>0.1</w:t>
            </w:r>
            <w:r>
              <w:rPr>
                <w:rFonts w:hint="eastAsia" w:ascii="仿宋_GB2312"/>
                <w:spacing w:val="-6"/>
                <w:szCs w:val="21"/>
              </w:rPr>
              <w:t>分。</w:t>
            </w:r>
          </w:p>
          <w:p>
            <w:pPr>
              <w:spacing w:line="280" w:lineRule="exact"/>
              <w:rPr>
                <w:rFonts w:ascii="Calibri" w:hAnsi="Calibri" w:eastAsia="仿宋_GB2312" w:cs="宋体"/>
                <w:spacing w:val="-6"/>
                <w:szCs w:val="21"/>
              </w:rPr>
            </w:pPr>
            <w:r>
              <w:rPr>
                <w:rFonts w:hint="eastAsia" w:ascii="仿宋_GB2312"/>
                <w:spacing w:val="-6"/>
                <w:szCs w:val="21"/>
              </w:rPr>
              <w:t>按涉农贷款较上年同期增速排名。第一名得</w:t>
            </w:r>
            <w:r>
              <w:rPr>
                <w:rFonts w:hint="eastAsia"/>
                <w:spacing w:val="-6"/>
                <w:szCs w:val="21"/>
              </w:rPr>
              <w:t>8</w:t>
            </w:r>
            <w:r>
              <w:rPr>
                <w:rFonts w:hint="eastAsia" w:ascii="仿宋_GB2312"/>
                <w:spacing w:val="-6"/>
                <w:szCs w:val="21"/>
              </w:rPr>
              <w:t>分，每落后一个位次减</w:t>
            </w:r>
            <w:r>
              <w:rPr>
                <w:rFonts w:hint="eastAsia"/>
                <w:spacing w:val="-6"/>
                <w:szCs w:val="21"/>
              </w:rPr>
              <w:t>0.6</w:t>
            </w:r>
            <w:r>
              <w:rPr>
                <w:rFonts w:hint="eastAsia" w:ascii="仿宋_GB2312"/>
                <w:spacing w:val="-6"/>
                <w:szCs w:val="21"/>
              </w:rPr>
              <w:t>分。无增长不得分。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ascii="仿宋_GB2312"/>
                <w:spacing w:val="-6"/>
                <w:szCs w:val="21"/>
              </w:rPr>
              <w:t>政府平台公司融资支持</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r>
              <w:rPr>
                <w:rFonts w:hint="eastAsia" w:ascii="仿宋_GB2312"/>
                <w:spacing w:val="-6"/>
                <w:szCs w:val="21"/>
              </w:rPr>
              <w:t>按对政府平台公司融资增量排名，第一名得</w:t>
            </w:r>
            <w:r>
              <w:rPr>
                <w:rFonts w:hint="eastAsia"/>
                <w:spacing w:val="-6"/>
                <w:szCs w:val="21"/>
              </w:rPr>
              <w:t>10</w:t>
            </w:r>
            <w:r>
              <w:rPr>
                <w:rFonts w:hint="eastAsia" w:ascii="仿宋_GB2312"/>
                <w:spacing w:val="-6"/>
                <w:szCs w:val="21"/>
              </w:rPr>
              <w:t>分，每递减</w:t>
            </w:r>
            <w:r>
              <w:rPr>
                <w:rFonts w:hint="eastAsia"/>
                <w:spacing w:val="-6"/>
                <w:szCs w:val="21"/>
              </w:rPr>
              <w:t>1</w:t>
            </w:r>
            <w:r>
              <w:rPr>
                <w:rFonts w:hint="eastAsia" w:ascii="仿宋_GB2312"/>
                <w:spacing w:val="-6"/>
                <w:szCs w:val="21"/>
              </w:rPr>
              <w:t>个位次减</w:t>
            </w:r>
            <w:r>
              <w:rPr>
                <w:rFonts w:hint="eastAsia"/>
                <w:spacing w:val="-6"/>
                <w:szCs w:val="21"/>
              </w:rPr>
              <w:t>0.8</w:t>
            </w:r>
            <w:r>
              <w:rPr>
                <w:rFonts w:hint="eastAsia" w:ascii="仿宋_GB2312"/>
                <w:spacing w:val="-6"/>
                <w:szCs w:val="21"/>
              </w:rPr>
              <w:t>分。无增长不得分。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109"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不良处置</w:t>
            </w:r>
          </w:p>
          <w:p>
            <w:pPr>
              <w:spacing w:line="240" w:lineRule="exact"/>
              <w:jc w:val="center"/>
              <w:rPr>
                <w:rFonts w:ascii="Calibri" w:hAnsi="Calibri" w:eastAsia="仿宋_GB2312" w:cs="宋体"/>
                <w:spacing w:val="-6"/>
                <w:szCs w:val="21"/>
              </w:rPr>
            </w:pPr>
            <w:r>
              <w:rPr>
                <w:rFonts w:ascii="仿宋_GB2312"/>
                <w:spacing w:val="-6"/>
                <w:szCs w:val="21"/>
              </w:rPr>
              <w:t>（</w:t>
            </w:r>
            <w:r>
              <w:rPr>
                <w:rFonts w:hint="eastAsia"/>
                <w:spacing w:val="-6"/>
                <w:szCs w:val="21"/>
              </w:rPr>
              <w:t>10</w:t>
            </w:r>
            <w:r>
              <w:rPr>
                <w:rFonts w:ascii="仿宋_GB2312"/>
                <w:spacing w:val="-6"/>
                <w:szCs w:val="21"/>
              </w:rPr>
              <w:t>分）</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不良率</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5</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hint="eastAsia" w:ascii="仿宋_GB2312"/>
                <w:spacing w:val="-6"/>
                <w:szCs w:val="21"/>
              </w:rPr>
              <w:t>按不良贷款率排名。</w:t>
            </w:r>
            <w:r>
              <w:rPr>
                <w:rFonts w:ascii="仿宋_GB2312"/>
                <w:spacing w:val="-6"/>
                <w:szCs w:val="21"/>
              </w:rPr>
              <w:t>不良率最低的得</w:t>
            </w:r>
            <w:r>
              <w:rPr>
                <w:rFonts w:hint="eastAsia"/>
                <w:spacing w:val="-6"/>
                <w:szCs w:val="21"/>
              </w:rPr>
              <w:t>5</w:t>
            </w:r>
            <w:r>
              <w:rPr>
                <w:rFonts w:ascii="仿宋_GB2312"/>
                <w:spacing w:val="-6"/>
                <w:szCs w:val="21"/>
              </w:rPr>
              <w:t>分，每</w:t>
            </w:r>
            <w:r>
              <w:rPr>
                <w:rFonts w:hint="eastAsia" w:ascii="仿宋_GB2312"/>
                <w:spacing w:val="-6"/>
                <w:szCs w:val="21"/>
              </w:rPr>
              <w:t>落</w:t>
            </w:r>
            <w:r>
              <w:rPr>
                <w:rFonts w:ascii="仿宋_GB2312"/>
                <w:spacing w:val="-6"/>
                <w:szCs w:val="21"/>
              </w:rPr>
              <w:t>后一位扣</w:t>
            </w:r>
            <w:r>
              <w:rPr>
                <w:rFonts w:hint="eastAsia"/>
                <w:spacing w:val="-6"/>
                <w:szCs w:val="21"/>
              </w:rPr>
              <w:t>0.4</w:t>
            </w:r>
            <w:r>
              <w:rPr>
                <w:rFonts w:ascii="仿宋_GB2312"/>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不良率降幅</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5</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hint="eastAsia" w:ascii="仿宋_GB2312"/>
                <w:spacing w:val="-6"/>
                <w:szCs w:val="21"/>
              </w:rPr>
              <w:t>按不良率压降幅度排名。</w:t>
            </w:r>
            <w:r>
              <w:rPr>
                <w:rFonts w:ascii="仿宋_GB2312"/>
                <w:spacing w:val="-6"/>
                <w:szCs w:val="21"/>
              </w:rPr>
              <w:t>不良率降幅最大的得</w:t>
            </w:r>
            <w:r>
              <w:rPr>
                <w:rFonts w:hint="eastAsia"/>
                <w:spacing w:val="-6"/>
                <w:szCs w:val="21"/>
              </w:rPr>
              <w:t>5</w:t>
            </w:r>
            <w:r>
              <w:rPr>
                <w:rFonts w:ascii="仿宋_GB2312"/>
                <w:spacing w:val="-6"/>
                <w:szCs w:val="21"/>
              </w:rPr>
              <w:t>分，每</w:t>
            </w:r>
            <w:r>
              <w:rPr>
                <w:rFonts w:hint="eastAsia" w:ascii="仿宋_GB2312"/>
                <w:spacing w:val="-6"/>
                <w:szCs w:val="21"/>
              </w:rPr>
              <w:t>落</w:t>
            </w:r>
            <w:r>
              <w:rPr>
                <w:rFonts w:ascii="仿宋_GB2312"/>
                <w:spacing w:val="-6"/>
                <w:szCs w:val="21"/>
              </w:rPr>
              <w:t>后一位扣</w:t>
            </w:r>
            <w:r>
              <w:rPr>
                <w:rFonts w:hint="eastAsia"/>
                <w:spacing w:val="-6"/>
                <w:szCs w:val="21"/>
              </w:rPr>
              <w:t>0.4</w:t>
            </w:r>
            <w:r>
              <w:rPr>
                <w:rFonts w:ascii="仿宋_GB2312"/>
                <w:spacing w:val="-6"/>
                <w:szCs w:val="21"/>
              </w:rPr>
              <w:t>分</w:t>
            </w:r>
            <w:r>
              <w:rPr>
                <w:rFonts w:hint="eastAsia" w:ascii="仿宋_GB2312"/>
                <w:spacing w:val="-6"/>
                <w:szCs w:val="21"/>
              </w:rPr>
              <w:t>，不良率不降反升的不得分</w:t>
            </w:r>
            <w:r>
              <w:rPr>
                <w:rFonts w:ascii="仿宋_GB2312"/>
                <w:bCs/>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纳税贡献</w:t>
            </w:r>
            <w:r>
              <w:rPr>
                <w:rFonts w:ascii="仿宋_GB2312"/>
                <w:spacing w:val="-6"/>
                <w:szCs w:val="21"/>
              </w:rPr>
              <w:t>（</w:t>
            </w:r>
            <w:r>
              <w:rPr>
                <w:rFonts w:hint="eastAsia"/>
                <w:spacing w:val="-6"/>
                <w:szCs w:val="21"/>
              </w:rPr>
              <w:t>10</w:t>
            </w:r>
            <w:r>
              <w:rPr>
                <w:rFonts w:ascii="仿宋_GB2312"/>
                <w:spacing w:val="-6"/>
                <w:szCs w:val="21"/>
              </w:rPr>
              <w:t>分）</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hint="eastAsia" w:ascii="仿宋_GB2312"/>
                <w:szCs w:val="21"/>
              </w:rPr>
              <w:t>按本年度缴纳的各项地方税收之和排名。纳税第一名</w:t>
            </w:r>
            <w:r>
              <w:rPr>
                <w:rFonts w:hint="eastAsia"/>
                <w:szCs w:val="21"/>
              </w:rPr>
              <w:t>10</w:t>
            </w:r>
            <w:r>
              <w:rPr>
                <w:rFonts w:hint="eastAsia" w:ascii="仿宋_GB2312"/>
                <w:szCs w:val="21"/>
              </w:rPr>
              <w:t>分，每落后一个位次减</w:t>
            </w:r>
            <w:r>
              <w:rPr>
                <w:rFonts w:hint="eastAsia"/>
                <w:szCs w:val="21"/>
              </w:rPr>
              <w:t>0.8</w:t>
            </w:r>
            <w:r>
              <w:rPr>
                <w:rFonts w:hint="eastAsia" w:ascii="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社会责任</w:t>
            </w:r>
          </w:p>
          <w:p>
            <w:pPr>
              <w:spacing w:line="240" w:lineRule="exact"/>
              <w:jc w:val="center"/>
              <w:rPr>
                <w:rFonts w:ascii="Calibri" w:hAnsi="Calibri" w:eastAsia="仿宋_GB2312" w:cs="宋体"/>
                <w:spacing w:val="-6"/>
                <w:szCs w:val="21"/>
              </w:rPr>
            </w:pPr>
            <w:r>
              <w:rPr>
                <w:rFonts w:ascii="仿宋_GB2312"/>
                <w:spacing w:val="-6"/>
                <w:szCs w:val="21"/>
              </w:rPr>
              <w:t>（</w:t>
            </w:r>
            <w:r>
              <w:rPr>
                <w:rFonts w:hint="eastAsia"/>
                <w:spacing w:val="-6"/>
                <w:szCs w:val="21"/>
              </w:rPr>
              <w:t>10</w:t>
            </w:r>
            <w:r>
              <w:rPr>
                <w:rFonts w:ascii="仿宋_GB2312"/>
                <w:spacing w:val="-6"/>
                <w:szCs w:val="21"/>
              </w:rPr>
              <w:t>分）</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综合评价</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spacing w:val="-6"/>
                <w:szCs w:val="21"/>
              </w:rPr>
              <w:t>10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hint="eastAsia" w:ascii="仿宋_GB2312"/>
                <w:spacing w:val="-6"/>
                <w:szCs w:val="21"/>
              </w:rPr>
              <w:t>根</w:t>
            </w:r>
            <w:r>
              <w:rPr>
                <w:rFonts w:ascii="仿宋_GB2312"/>
                <w:spacing w:val="-6"/>
                <w:szCs w:val="21"/>
              </w:rPr>
              <w:t>据</w:t>
            </w:r>
            <w:r>
              <w:rPr>
                <w:rFonts w:hint="eastAsia" w:ascii="仿宋_GB2312"/>
                <w:spacing w:val="-6"/>
                <w:szCs w:val="21"/>
              </w:rPr>
              <w:t>金融机构贯彻实</w:t>
            </w:r>
            <w:r>
              <w:rPr>
                <w:rFonts w:ascii="仿宋_GB2312"/>
                <w:spacing w:val="-6"/>
                <w:szCs w:val="21"/>
              </w:rPr>
              <w:t>落实</w:t>
            </w:r>
            <w:r>
              <w:rPr>
                <w:rFonts w:hint="eastAsia" w:ascii="仿宋_GB2312"/>
                <w:spacing w:val="-6"/>
                <w:szCs w:val="21"/>
              </w:rPr>
              <w:t>区委</w:t>
            </w:r>
            <w:r>
              <w:rPr>
                <w:rFonts w:ascii="仿宋_GB2312"/>
                <w:spacing w:val="-6"/>
                <w:szCs w:val="21"/>
              </w:rPr>
              <w:t>政府及金融监管部门对银企关系协调事项</w:t>
            </w:r>
            <w:r>
              <w:rPr>
                <w:rFonts w:hint="eastAsia" w:ascii="仿宋_GB2312"/>
                <w:spacing w:val="-6"/>
                <w:szCs w:val="21"/>
              </w:rPr>
              <w:t>的完成情况，贯彻智造之都宜居之城、四个一百、金融扶贫、支持乡村振兴、无废城市、应对疫情支持企业复工复产信息报送、经验总结等</w:t>
            </w:r>
            <w:r>
              <w:rPr>
                <w:rFonts w:ascii="仿宋_GB2312"/>
                <w:spacing w:val="-6"/>
                <w:szCs w:val="21"/>
              </w:rPr>
              <w:t>社会责任情况开展评议，</w:t>
            </w:r>
            <w:r>
              <w:rPr>
                <w:rFonts w:hint="eastAsia" w:ascii="仿宋_GB2312"/>
                <w:spacing w:val="-6"/>
                <w:szCs w:val="21"/>
              </w:rPr>
              <w:t>将银行业金融机构评为优秀、良好、中等、差四个等级，优秀</w:t>
            </w:r>
            <w:r>
              <w:rPr>
                <w:rFonts w:hint="eastAsia"/>
                <w:spacing w:val="-6"/>
                <w:szCs w:val="21"/>
              </w:rPr>
              <w:t>10-8</w:t>
            </w:r>
            <w:r>
              <w:rPr>
                <w:rFonts w:hint="eastAsia" w:ascii="仿宋_GB2312"/>
                <w:spacing w:val="-6"/>
                <w:szCs w:val="21"/>
              </w:rPr>
              <w:t>分，良好</w:t>
            </w:r>
            <w:r>
              <w:rPr>
                <w:rFonts w:hint="eastAsia"/>
                <w:spacing w:val="-6"/>
                <w:szCs w:val="21"/>
              </w:rPr>
              <w:t>7-4</w:t>
            </w:r>
            <w:r>
              <w:rPr>
                <w:rFonts w:hint="eastAsia" w:ascii="仿宋_GB2312"/>
                <w:spacing w:val="-6"/>
                <w:szCs w:val="21"/>
              </w:rPr>
              <w:t>分，中等</w:t>
            </w:r>
            <w:r>
              <w:rPr>
                <w:rFonts w:hint="eastAsia"/>
                <w:spacing w:val="-6"/>
                <w:szCs w:val="21"/>
              </w:rPr>
              <w:t>3-2</w:t>
            </w:r>
            <w:r>
              <w:rPr>
                <w:rFonts w:hint="eastAsia" w:ascii="仿宋_GB2312"/>
                <w:spacing w:val="-6"/>
                <w:szCs w:val="21"/>
              </w:rPr>
              <w:t>分，差不得分，相等得分不得超过两个（不含）单位。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ascii="仿宋_GB2312"/>
                <w:spacing w:val="-6"/>
                <w:szCs w:val="21"/>
              </w:rPr>
              <w:t>总分</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Calibri" w:eastAsia="仿宋_GB2312" w:cs="宋体"/>
                <w:spacing w:val="-6"/>
                <w:szCs w:val="21"/>
              </w:rPr>
            </w:pPr>
            <w:r>
              <w:rPr>
                <w:rFonts w:hint="eastAsia"/>
                <w:spacing w:val="-6"/>
                <w:szCs w:val="21"/>
              </w:rPr>
              <w:t>100</w:t>
            </w: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仿宋_GB2312" w:hAnsi="Calibri" w:eastAsia="仿宋_GB2312"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9"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加分项</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金融创新</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80" w:lineRule="exact"/>
              <w:rPr>
                <w:rFonts w:ascii="Calibri" w:hAnsi="Calibri" w:eastAsia="仿宋_GB2312" w:cs="宋体"/>
                <w:spacing w:val="-6"/>
                <w:szCs w:val="21"/>
              </w:rPr>
            </w:pPr>
            <w:r>
              <w:rPr>
                <w:rFonts w:ascii="仿宋_GB2312"/>
                <w:spacing w:val="-6"/>
                <w:szCs w:val="21"/>
              </w:rPr>
              <w:t>新推出</w:t>
            </w:r>
            <w:r>
              <w:rPr>
                <w:rFonts w:hint="eastAsia" w:ascii="仿宋_GB2312"/>
                <w:spacing w:val="-6"/>
                <w:szCs w:val="21"/>
              </w:rPr>
              <w:t>全区</w:t>
            </w:r>
            <w:r>
              <w:rPr>
                <w:rFonts w:ascii="仿宋_GB2312"/>
                <w:spacing w:val="-6"/>
                <w:szCs w:val="21"/>
              </w:rPr>
              <w:t>首创普惠</w:t>
            </w:r>
            <w:r>
              <w:rPr>
                <w:rFonts w:hint="eastAsia" w:ascii="仿宋_GB2312"/>
                <w:spacing w:val="-6"/>
                <w:szCs w:val="21"/>
              </w:rPr>
              <w:t>、乡村振兴</w:t>
            </w:r>
            <w:r>
              <w:rPr>
                <w:rFonts w:ascii="仿宋_GB2312"/>
                <w:spacing w:val="-6"/>
                <w:szCs w:val="21"/>
              </w:rPr>
              <w:t>金融产品</w:t>
            </w:r>
            <w:r>
              <w:rPr>
                <w:rFonts w:hint="eastAsia" w:ascii="仿宋_GB2312"/>
                <w:spacing w:val="-6"/>
                <w:szCs w:val="21"/>
              </w:rPr>
              <w:t>，</w:t>
            </w:r>
            <w:r>
              <w:rPr>
                <w:rFonts w:ascii="仿宋_GB2312"/>
                <w:spacing w:val="-6"/>
                <w:szCs w:val="21"/>
              </w:rPr>
              <w:t>知识产权质押贷款、应收账款融资</w:t>
            </w:r>
            <w:r>
              <w:rPr>
                <w:rFonts w:hint="eastAsia" w:ascii="仿宋_GB2312"/>
                <w:spacing w:val="-6"/>
                <w:szCs w:val="21"/>
              </w:rPr>
              <w:t>、开展银税贷款成效突出等方面</w:t>
            </w:r>
            <w:r>
              <w:rPr>
                <w:rFonts w:ascii="仿宋_GB2312"/>
                <w:spacing w:val="-6"/>
                <w:szCs w:val="21"/>
              </w:rPr>
              <w:t>。</w:t>
            </w:r>
            <w:r>
              <w:rPr>
                <w:rFonts w:hint="eastAsia" w:ascii="仿宋_GB2312"/>
                <w:spacing w:val="-6"/>
                <w:szCs w:val="21"/>
              </w:rPr>
              <w:t>该项目</w:t>
            </w:r>
            <w:r>
              <w:rPr>
                <w:rFonts w:ascii="仿宋_GB2312"/>
                <w:spacing w:val="-6"/>
                <w:szCs w:val="21"/>
              </w:rPr>
              <w:t>由银行提出申报，经</w:t>
            </w:r>
            <w:r>
              <w:rPr>
                <w:rFonts w:hint="eastAsia" w:ascii="仿宋_GB2312"/>
                <w:spacing w:val="-6"/>
                <w:szCs w:val="21"/>
              </w:rPr>
              <w:t>综合激励</w:t>
            </w:r>
            <w:r>
              <w:rPr>
                <w:rFonts w:ascii="仿宋_GB2312"/>
                <w:spacing w:val="-6"/>
                <w:szCs w:val="21"/>
              </w:rPr>
              <w:t>领导小组认定后，根据实际成效</w:t>
            </w:r>
            <w:r>
              <w:rPr>
                <w:rFonts w:hint="eastAsia" w:ascii="仿宋_GB2312"/>
                <w:spacing w:val="-6"/>
                <w:szCs w:val="21"/>
              </w:rPr>
              <w:t>加分，</w:t>
            </w:r>
            <w:r>
              <w:rPr>
                <w:rFonts w:ascii="仿宋_GB2312"/>
                <w:spacing w:val="-6"/>
                <w:szCs w:val="21"/>
              </w:rPr>
              <w:t>最高加</w:t>
            </w:r>
            <w:r>
              <w:rPr>
                <w:rFonts w:hint="eastAsia"/>
                <w:spacing w:val="-6"/>
                <w:szCs w:val="21"/>
              </w:rPr>
              <w:t>3</w:t>
            </w:r>
            <w:r>
              <w:rPr>
                <w:rFonts w:ascii="仿宋_GB2312"/>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数据</w:t>
            </w:r>
            <w:r>
              <w:rPr>
                <w:rFonts w:hint="eastAsia" w:ascii="仿宋_GB2312"/>
                <w:spacing w:val="-6"/>
                <w:szCs w:val="21"/>
              </w:rPr>
              <w:t>、</w:t>
            </w:r>
            <w:r>
              <w:rPr>
                <w:rFonts w:ascii="仿宋_GB2312"/>
                <w:spacing w:val="-6"/>
                <w:szCs w:val="21"/>
              </w:rPr>
              <w:t>信息报送</w:t>
            </w:r>
            <w:r>
              <w:rPr>
                <w:rFonts w:hint="eastAsia" w:ascii="仿宋_GB2312"/>
                <w:spacing w:val="-6"/>
                <w:szCs w:val="21"/>
              </w:rPr>
              <w:t>等情况</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rPr>
                <w:rFonts w:ascii="Calibri" w:hAnsi="Calibri" w:eastAsia="仿宋_GB2312" w:cs="宋体"/>
                <w:spacing w:val="-6"/>
                <w:szCs w:val="21"/>
              </w:rPr>
            </w:pPr>
            <w:r>
              <w:rPr>
                <w:rFonts w:ascii="仿宋_GB2312"/>
                <w:spacing w:val="-6"/>
                <w:szCs w:val="21"/>
              </w:rPr>
              <w:t>根据金融机构数据统计</w:t>
            </w:r>
            <w:r>
              <w:rPr>
                <w:rFonts w:hint="eastAsia" w:ascii="仿宋_GB2312"/>
                <w:spacing w:val="-6"/>
                <w:szCs w:val="21"/>
              </w:rPr>
              <w:t>、信息报送等工作配合较好</w:t>
            </w:r>
            <w:r>
              <w:rPr>
                <w:rFonts w:ascii="仿宋_GB2312"/>
                <w:spacing w:val="-6"/>
                <w:szCs w:val="21"/>
              </w:rPr>
              <w:t>的给予加分，最高加</w:t>
            </w:r>
            <w:r>
              <w:rPr>
                <w:spacing w:val="-6"/>
                <w:szCs w:val="21"/>
              </w:rPr>
              <w:t>3</w:t>
            </w:r>
            <w:r>
              <w:rPr>
                <w:rFonts w:ascii="仿宋_GB2312"/>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通报表扬</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rPr>
                <w:rFonts w:ascii="Calibri" w:hAnsi="Calibri" w:eastAsia="仿宋_GB2312" w:cs="宋体"/>
                <w:spacing w:val="-6"/>
                <w:szCs w:val="21"/>
              </w:rPr>
            </w:pPr>
            <w:r>
              <w:rPr>
                <w:rFonts w:ascii="仿宋_GB2312"/>
                <w:spacing w:val="-6"/>
                <w:szCs w:val="21"/>
              </w:rPr>
              <w:t>受</w:t>
            </w:r>
            <w:r>
              <w:rPr>
                <w:rFonts w:hint="eastAsia" w:ascii="仿宋_GB2312"/>
                <w:spacing w:val="-6"/>
                <w:szCs w:val="21"/>
              </w:rPr>
              <w:t>区</w:t>
            </w:r>
            <w:r>
              <w:rPr>
                <w:rFonts w:ascii="仿宋_GB2312"/>
                <w:spacing w:val="-6"/>
                <w:szCs w:val="21"/>
              </w:rPr>
              <w:t>委</w:t>
            </w:r>
            <w:r>
              <w:rPr>
                <w:rFonts w:hint="eastAsia" w:ascii="仿宋_GB2312"/>
                <w:spacing w:val="-6"/>
                <w:szCs w:val="21"/>
              </w:rPr>
              <w:t>区</w:t>
            </w:r>
            <w:r>
              <w:rPr>
                <w:rFonts w:ascii="仿宋_GB2312"/>
                <w:spacing w:val="-6"/>
                <w:szCs w:val="21"/>
              </w:rPr>
              <w:t>政府表扬并明确加分的按实</w:t>
            </w:r>
            <w:r>
              <w:rPr>
                <w:rFonts w:hint="eastAsia" w:ascii="仿宋_GB2312"/>
                <w:spacing w:val="-6"/>
                <w:szCs w:val="21"/>
              </w:rPr>
              <w:t>情</w:t>
            </w:r>
            <w:r>
              <w:rPr>
                <w:rFonts w:ascii="仿宋_GB2312"/>
                <w:spacing w:val="-6"/>
                <w:szCs w:val="21"/>
              </w:rPr>
              <w:t>加分</w:t>
            </w:r>
            <w:r>
              <w:rPr>
                <w:rFonts w:hint="eastAsia" w:ascii="仿宋_GB2312"/>
                <w:spacing w:val="-6"/>
                <w:szCs w:val="21"/>
              </w:rPr>
              <w:t>，最高加</w:t>
            </w:r>
            <w:r>
              <w:rPr>
                <w:rFonts w:hint="eastAsia"/>
                <w:spacing w:val="-6"/>
                <w:szCs w:val="21"/>
              </w:rPr>
              <w:t>3</w:t>
            </w:r>
            <w:r>
              <w:rPr>
                <w:rFonts w:hint="eastAsia" w:ascii="仿宋_GB2312"/>
                <w:spacing w:val="-6"/>
                <w:szCs w:val="21"/>
              </w:rPr>
              <w:t>分</w:t>
            </w:r>
            <w:r>
              <w:rPr>
                <w:rFonts w:ascii="仿宋_GB2312"/>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9"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扣分项</w:t>
            </w: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抽贷压贷</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rPr>
                <w:rFonts w:ascii="Calibri" w:hAnsi="Calibri" w:eastAsia="仿宋_GB2312" w:cs="宋体"/>
                <w:spacing w:val="-6"/>
                <w:szCs w:val="21"/>
              </w:rPr>
            </w:pPr>
            <w:r>
              <w:rPr>
                <w:rFonts w:ascii="仿宋_GB2312"/>
                <w:spacing w:val="-6"/>
                <w:szCs w:val="21"/>
              </w:rPr>
              <w:t>无正当理由，对</w:t>
            </w:r>
            <w:r>
              <w:rPr>
                <w:rFonts w:hint="eastAsia" w:ascii="仿宋_GB2312"/>
                <w:spacing w:val="-6"/>
                <w:szCs w:val="21"/>
              </w:rPr>
              <w:t>全区</w:t>
            </w:r>
            <w:r>
              <w:rPr>
                <w:rFonts w:ascii="仿宋_GB2312"/>
                <w:spacing w:val="-6"/>
                <w:szCs w:val="21"/>
              </w:rPr>
              <w:t>工业企业、</w:t>
            </w:r>
            <w:r>
              <w:rPr>
                <w:rFonts w:hint="eastAsia" w:ascii="仿宋_GB2312"/>
                <w:spacing w:val="-6"/>
                <w:szCs w:val="21"/>
              </w:rPr>
              <w:t>制造业企业、</w:t>
            </w:r>
            <w:r>
              <w:rPr>
                <w:rFonts w:ascii="仿宋_GB2312"/>
                <w:spacing w:val="-6"/>
                <w:szCs w:val="21"/>
              </w:rPr>
              <w:t>上市重点培育</w:t>
            </w:r>
            <w:r>
              <w:rPr>
                <w:rFonts w:hint="eastAsia" w:ascii="仿宋_GB2312"/>
                <w:spacing w:val="-6"/>
                <w:szCs w:val="21"/>
              </w:rPr>
              <w:t>、专精特新等区委区政府重点支持</w:t>
            </w:r>
            <w:r>
              <w:rPr>
                <w:rFonts w:ascii="仿宋_GB2312"/>
                <w:spacing w:val="-6"/>
                <w:szCs w:val="21"/>
              </w:rPr>
              <w:t>企业</w:t>
            </w:r>
            <w:r>
              <w:rPr>
                <w:rFonts w:hint="eastAsia" w:ascii="仿宋_GB2312"/>
                <w:spacing w:val="-6"/>
                <w:szCs w:val="21"/>
              </w:rPr>
              <w:t>盲目</w:t>
            </w:r>
            <w:r>
              <w:rPr>
                <w:rFonts w:ascii="仿宋_GB2312"/>
                <w:spacing w:val="-6"/>
                <w:szCs w:val="21"/>
              </w:rPr>
              <w:t>抽贷、压贷的，每出现一例扣</w:t>
            </w:r>
            <w:r>
              <w:rPr>
                <w:rFonts w:hint="eastAsia"/>
                <w:spacing w:val="-6"/>
                <w:szCs w:val="21"/>
              </w:rPr>
              <w:t>3</w:t>
            </w:r>
            <w:r>
              <w:rPr>
                <w:rFonts w:ascii="仿宋_GB2312"/>
                <w:spacing w:val="-6"/>
                <w:szCs w:val="21"/>
              </w:rPr>
              <w:t>分</w:t>
            </w:r>
            <w:r>
              <w:rPr>
                <w:rFonts w:hint="eastAsia" w:ascii="仿宋_GB2312"/>
                <w:spacing w:val="-6"/>
                <w:szCs w:val="21"/>
              </w:rPr>
              <w:t>。性质恶劣的一票否决。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ascii="仿宋_GB2312"/>
                <w:spacing w:val="-6"/>
                <w:szCs w:val="21"/>
              </w:rPr>
              <w:t>协调配合</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rPr>
                <w:rFonts w:ascii="Calibri" w:hAnsi="Calibri" w:eastAsia="仿宋_GB2312" w:cs="宋体"/>
                <w:spacing w:val="-6"/>
                <w:szCs w:val="21"/>
              </w:rPr>
            </w:pPr>
            <w:r>
              <w:rPr>
                <w:rFonts w:ascii="仿宋_GB2312"/>
                <w:spacing w:val="-6"/>
                <w:szCs w:val="21"/>
              </w:rPr>
              <w:t>对</w:t>
            </w:r>
            <w:r>
              <w:rPr>
                <w:rFonts w:hint="eastAsia" w:ascii="仿宋_GB2312"/>
                <w:spacing w:val="-6"/>
                <w:szCs w:val="21"/>
              </w:rPr>
              <w:t>区委区政府重大</w:t>
            </w:r>
            <w:r>
              <w:rPr>
                <w:rFonts w:ascii="仿宋_GB2312"/>
                <w:spacing w:val="-6"/>
                <w:szCs w:val="21"/>
              </w:rPr>
              <w:t>协调事项</w:t>
            </w:r>
            <w:r>
              <w:rPr>
                <w:rFonts w:hint="eastAsia" w:ascii="仿宋_GB2312"/>
                <w:spacing w:val="-6"/>
                <w:szCs w:val="21"/>
              </w:rPr>
              <w:t>，无正当理由</w:t>
            </w:r>
            <w:r>
              <w:rPr>
                <w:rFonts w:ascii="仿宋_GB2312"/>
                <w:spacing w:val="-6"/>
                <w:szCs w:val="21"/>
              </w:rPr>
              <w:t>不配合的每</w:t>
            </w:r>
            <w:r>
              <w:rPr>
                <w:rFonts w:hint="eastAsia" w:ascii="仿宋_GB2312"/>
                <w:spacing w:val="-6"/>
                <w:szCs w:val="21"/>
              </w:rPr>
              <w:t>次</w:t>
            </w:r>
            <w:r>
              <w:rPr>
                <w:rFonts w:ascii="仿宋_GB2312"/>
                <w:spacing w:val="-6"/>
                <w:szCs w:val="21"/>
              </w:rPr>
              <w:t>扣</w:t>
            </w:r>
            <w:r>
              <w:rPr>
                <w:rFonts w:hint="eastAsia"/>
                <w:spacing w:val="-6"/>
                <w:szCs w:val="21"/>
              </w:rPr>
              <w:t>4</w:t>
            </w:r>
            <w:r>
              <w:rPr>
                <w:rFonts w:ascii="仿宋_GB2312"/>
                <w:spacing w:val="-6"/>
                <w:szCs w:val="21"/>
              </w:rPr>
              <w:t>分。</w:t>
            </w:r>
            <w:r>
              <w:rPr>
                <w:rFonts w:hint="eastAsia" w:ascii="仿宋_GB2312"/>
                <w:spacing w:val="-6"/>
                <w:szCs w:val="21"/>
              </w:rPr>
              <w:t>性质恶劣的一票否决。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Calibri" w:hAnsi="Calibri" w:eastAsia="仿宋_GB2312" w:cs="宋体"/>
                <w:spacing w:val="-6"/>
                <w:szCs w:val="21"/>
              </w:rPr>
            </w:pPr>
          </w:p>
        </w:tc>
        <w:tc>
          <w:tcPr>
            <w:tcW w:w="130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r>
              <w:rPr>
                <w:rFonts w:hint="eastAsia" w:ascii="仿宋_GB2312"/>
                <w:spacing w:val="-6"/>
                <w:szCs w:val="21"/>
              </w:rPr>
              <w:t>风险防控</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Calibri" w:hAnsi="Calibri" w:eastAsia="仿宋_GB2312" w:cs="宋体"/>
                <w:spacing w:val="-6"/>
                <w:szCs w:val="21"/>
              </w:rPr>
            </w:pPr>
          </w:p>
        </w:tc>
        <w:tc>
          <w:tcPr>
            <w:tcW w:w="5534" w:type="dxa"/>
            <w:tcBorders>
              <w:top w:val="single" w:color="auto" w:sz="4" w:space="0"/>
              <w:left w:val="nil"/>
              <w:bottom w:val="single" w:color="auto" w:sz="4" w:space="0"/>
              <w:right w:val="single" w:color="auto" w:sz="4" w:space="0"/>
            </w:tcBorders>
            <w:noWrap w:val="0"/>
            <w:vAlign w:val="center"/>
          </w:tcPr>
          <w:p>
            <w:pPr>
              <w:spacing w:line="240" w:lineRule="exact"/>
              <w:rPr>
                <w:rFonts w:ascii="Calibri" w:hAnsi="Calibri" w:eastAsia="仿宋_GB2312" w:cs="宋体"/>
                <w:spacing w:val="-6"/>
                <w:szCs w:val="21"/>
              </w:rPr>
            </w:pPr>
            <w:r>
              <w:rPr>
                <w:rFonts w:hint="eastAsia" w:ascii="仿宋_GB2312"/>
                <w:spacing w:val="-6"/>
                <w:szCs w:val="21"/>
              </w:rPr>
              <w:t>出现重大负面舆情、挤兑、信访、疫情防控等重大不稳定事件的，实行一票否决。</w:t>
            </w:r>
          </w:p>
        </w:tc>
      </w:tr>
    </w:tbl>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pStyle w:val="2"/>
        <w:shd w:val="clear" w:color="auto" w:fill="FFFFFF"/>
        <w:spacing w:before="0" w:beforeAutospacing="0" w:after="0" w:afterAutospacing="0" w:line="560" w:lineRule="exact"/>
        <w:rPr>
          <w:rFonts w:hint="eastAsia"/>
          <w:b w:val="0"/>
          <w:bCs w:val="0"/>
          <w:color w:val="454545"/>
          <w:sz w:val="30"/>
          <w:szCs w:val="30"/>
        </w:rPr>
      </w:pPr>
    </w:p>
    <w:p>
      <w:pPr>
        <w:spacing w:line="560" w:lineRule="exact"/>
        <w:rPr>
          <w:rFonts w:ascii="黑体" w:hAnsi="黑体" w:eastAsia="黑体"/>
          <w:b/>
          <w:kern w:val="0"/>
        </w:rPr>
      </w:pPr>
      <w:r>
        <w:rPr>
          <w:rFonts w:hint="eastAsia" w:ascii="黑体" w:hAnsi="黑体" w:eastAsia="黑体"/>
          <w:kern w:val="0"/>
        </w:rPr>
        <w:t>附件2</w:t>
      </w:r>
    </w:p>
    <w:p>
      <w:pPr>
        <w:spacing w:line="560" w:lineRule="exact"/>
        <w:ind w:right="-399" w:rightChars="-190"/>
        <w:jc w:val="center"/>
        <w:rPr>
          <w:rFonts w:hint="eastAsia" w:ascii="方正小标宋简体" w:hAnsi="Calibri" w:eastAsia="方正小标宋简体"/>
          <w:kern w:val="0"/>
          <w:sz w:val="40"/>
          <w:szCs w:val="40"/>
        </w:rPr>
      </w:pPr>
      <w:r>
        <w:rPr>
          <w:rFonts w:hint="eastAsia" w:ascii="方正小标宋简体" w:eastAsia="方正小标宋简体"/>
          <w:kern w:val="0"/>
          <w:sz w:val="40"/>
          <w:szCs w:val="40"/>
        </w:rPr>
        <w:t>保险业机构测评项目表</w:t>
      </w:r>
    </w:p>
    <w:tbl>
      <w:tblPr>
        <w:tblStyle w:val="4"/>
        <w:tblW w:w="8793" w:type="dxa"/>
        <w:tblInd w:w="135" w:type="dxa"/>
        <w:tblLayout w:type="fixed"/>
        <w:tblCellMar>
          <w:top w:w="0" w:type="dxa"/>
          <w:left w:w="108" w:type="dxa"/>
          <w:bottom w:w="0" w:type="dxa"/>
          <w:right w:w="108" w:type="dxa"/>
        </w:tblCellMar>
      </w:tblPr>
      <w:tblGrid>
        <w:gridCol w:w="1094"/>
        <w:gridCol w:w="905"/>
        <w:gridCol w:w="3027"/>
        <w:gridCol w:w="3767"/>
      </w:tblGrid>
      <w:tr>
        <w:trPr>
          <w:trHeight w:val="465" w:hRule="atLeast"/>
        </w:trPr>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项目</w:t>
            </w:r>
          </w:p>
        </w:tc>
        <w:tc>
          <w:tcPr>
            <w:tcW w:w="90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分值</w:t>
            </w:r>
          </w:p>
        </w:tc>
        <w:tc>
          <w:tcPr>
            <w:tcW w:w="302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产险机构评分标准</w:t>
            </w:r>
          </w:p>
        </w:tc>
        <w:tc>
          <w:tcPr>
            <w:tcW w:w="37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黑体" w:hAnsi="黑体" w:eastAsia="黑体" w:cs="宋体"/>
                <w:spacing w:val="-6"/>
                <w:szCs w:val="21"/>
              </w:rPr>
            </w:pPr>
            <w:r>
              <w:rPr>
                <w:rFonts w:hint="eastAsia" w:ascii="黑体" w:hAnsi="黑体" w:eastAsia="黑体"/>
                <w:spacing w:val="-6"/>
                <w:szCs w:val="21"/>
              </w:rPr>
              <w:t>寿险机构评分标准</w:t>
            </w:r>
          </w:p>
        </w:tc>
      </w:tr>
      <w:tr>
        <w:tblPrEx>
          <w:tblCellMar>
            <w:top w:w="0" w:type="dxa"/>
            <w:left w:w="108" w:type="dxa"/>
            <w:bottom w:w="0" w:type="dxa"/>
            <w:right w:w="108" w:type="dxa"/>
          </w:tblCellMar>
        </w:tblPrEx>
        <w:trPr>
          <w:trHeight w:val="1313" w:hRule="atLeast"/>
        </w:trPr>
        <w:tc>
          <w:tcPr>
            <w:tcW w:w="109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w:eastAsia="仿宋_GB2312" w:cs="宋体"/>
                <w:szCs w:val="21"/>
              </w:rPr>
            </w:pPr>
            <w:r>
              <w:rPr>
                <w:rFonts w:ascii="仿宋_GB2312"/>
                <w:szCs w:val="21"/>
              </w:rPr>
              <w:t>引进保险资金</w:t>
            </w:r>
            <w:r>
              <w:rPr>
                <w:rFonts w:hint="eastAsia" w:ascii="仿宋_GB2312"/>
                <w:szCs w:val="21"/>
              </w:rPr>
              <w:t>情况</w:t>
            </w:r>
          </w:p>
        </w:tc>
        <w:tc>
          <w:tcPr>
            <w:tcW w:w="905" w:type="dxa"/>
            <w:tcBorders>
              <w:top w:val="nil"/>
              <w:left w:val="nil"/>
              <w:bottom w:val="single" w:color="auto" w:sz="4" w:space="0"/>
              <w:right w:val="single" w:color="auto" w:sz="4" w:space="0"/>
            </w:tcBorders>
            <w:noWrap w:val="0"/>
            <w:vAlign w:val="center"/>
          </w:tcPr>
          <w:p>
            <w:pPr>
              <w:widowControl/>
              <w:spacing w:line="300" w:lineRule="exact"/>
              <w:jc w:val="center"/>
              <w:rPr>
                <w:rFonts w:ascii="Calibri" w:hAnsi="Calibri" w:eastAsia="仿宋_GB2312" w:cs="宋体"/>
                <w:kern w:val="0"/>
                <w:szCs w:val="21"/>
              </w:rPr>
            </w:pPr>
            <w:r>
              <w:rPr>
                <w:rFonts w:hint="eastAsia"/>
                <w:kern w:val="0"/>
                <w:szCs w:val="21"/>
              </w:rPr>
              <w:t>25</w:t>
            </w:r>
          </w:p>
        </w:tc>
        <w:tc>
          <w:tcPr>
            <w:tcW w:w="6794" w:type="dxa"/>
            <w:gridSpan w:val="2"/>
            <w:tcBorders>
              <w:top w:val="single" w:color="auto" w:sz="4" w:space="0"/>
              <w:left w:val="nil"/>
              <w:bottom w:val="single" w:color="auto" w:sz="4" w:space="0"/>
              <w:right w:val="single" w:color="auto" w:sz="4" w:space="0"/>
            </w:tcBorders>
            <w:noWrap w:val="0"/>
            <w:vAlign w:val="center"/>
          </w:tcPr>
          <w:p>
            <w:pPr>
              <w:spacing w:line="300" w:lineRule="exact"/>
              <w:rPr>
                <w:rFonts w:ascii="Calibri" w:hAnsi="Calibri" w:eastAsia="仿宋_GB2312" w:cs="宋体"/>
                <w:spacing w:val="-6"/>
                <w:szCs w:val="21"/>
              </w:rPr>
            </w:pPr>
            <w:r>
              <w:rPr>
                <w:rFonts w:ascii="仿宋_GB2312"/>
                <w:spacing w:val="-6"/>
                <w:szCs w:val="21"/>
              </w:rPr>
              <w:t>每引进一笔</w:t>
            </w:r>
            <w:r>
              <w:rPr>
                <w:rFonts w:hint="eastAsia"/>
                <w:spacing w:val="-6"/>
                <w:szCs w:val="21"/>
              </w:rPr>
              <w:t>1000</w:t>
            </w:r>
            <w:r>
              <w:rPr>
                <w:rFonts w:hint="eastAsia" w:ascii="仿宋_GB2312"/>
                <w:spacing w:val="-6"/>
                <w:szCs w:val="21"/>
              </w:rPr>
              <w:t>万元以上的</w:t>
            </w:r>
            <w:r>
              <w:rPr>
                <w:rFonts w:ascii="仿宋_GB2312"/>
                <w:spacing w:val="-6"/>
                <w:szCs w:val="21"/>
              </w:rPr>
              <w:t>保险资金落地得</w:t>
            </w:r>
            <w:r>
              <w:rPr>
                <w:rFonts w:hint="eastAsia"/>
                <w:spacing w:val="-6"/>
                <w:szCs w:val="21"/>
              </w:rPr>
              <w:t>5</w:t>
            </w:r>
            <w:r>
              <w:rPr>
                <w:rFonts w:ascii="仿宋_GB2312"/>
                <w:spacing w:val="-6"/>
                <w:szCs w:val="21"/>
              </w:rPr>
              <w:t>分。</w:t>
            </w:r>
            <w:r>
              <w:rPr>
                <w:rFonts w:hint="eastAsia" w:ascii="仿宋_GB2312"/>
                <w:spacing w:val="-6"/>
                <w:szCs w:val="21"/>
              </w:rPr>
              <w:t>包括在我区购置办公职场，设立区域总部、研发中心、后援中心、灾备中心等的投资；各保险机构通过项目投资、股权投资、债权投资等各种形式，为我区养老社区、医养中心，项目建设、轨道交通、高速铁路、高速公路、干线公路、农村公路等重大基础设施和民生工程建设以及新能源、电力电气、生物与新医药、新材料、人工智能等战略性新兴产业提供长期稳定资金支持的各类投资。</w:t>
            </w:r>
          </w:p>
        </w:tc>
      </w:tr>
      <w:tr>
        <w:tblPrEx>
          <w:tblCellMar>
            <w:top w:w="0" w:type="dxa"/>
            <w:left w:w="108" w:type="dxa"/>
            <w:bottom w:w="0" w:type="dxa"/>
            <w:right w:w="108" w:type="dxa"/>
          </w:tblCellMar>
        </w:tblPrEx>
        <w:trPr>
          <w:trHeight w:val="1363" w:hRule="atLeast"/>
        </w:trPr>
        <w:tc>
          <w:tcPr>
            <w:tcW w:w="109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ascii="Calibri" w:hAnsi="Calibri" w:eastAsia="仿宋_GB2312" w:cs="宋体"/>
                <w:szCs w:val="21"/>
              </w:rPr>
            </w:pPr>
            <w:r>
              <w:rPr>
                <w:rFonts w:ascii="仿宋_GB2312"/>
                <w:szCs w:val="21"/>
              </w:rPr>
              <w:t>政策性保险项目推进情况</w:t>
            </w:r>
          </w:p>
        </w:tc>
        <w:tc>
          <w:tcPr>
            <w:tcW w:w="905" w:type="dxa"/>
            <w:tcBorders>
              <w:top w:val="nil"/>
              <w:left w:val="nil"/>
              <w:bottom w:val="single" w:color="auto" w:sz="4" w:space="0"/>
              <w:right w:val="single" w:color="auto" w:sz="4" w:space="0"/>
            </w:tcBorders>
            <w:noWrap w:val="0"/>
            <w:vAlign w:val="center"/>
          </w:tcPr>
          <w:p>
            <w:pPr>
              <w:widowControl/>
              <w:spacing w:line="300" w:lineRule="exact"/>
              <w:jc w:val="center"/>
              <w:rPr>
                <w:rFonts w:ascii="Calibri" w:hAnsi="Calibri" w:eastAsia="仿宋_GB2312" w:cs="宋体"/>
                <w:kern w:val="0"/>
                <w:szCs w:val="21"/>
              </w:rPr>
            </w:pPr>
            <w:r>
              <w:rPr>
                <w:rFonts w:hint="eastAsia"/>
                <w:kern w:val="0"/>
                <w:szCs w:val="21"/>
              </w:rPr>
              <w:t>25</w:t>
            </w:r>
          </w:p>
        </w:tc>
        <w:tc>
          <w:tcPr>
            <w:tcW w:w="3027" w:type="dxa"/>
            <w:tcBorders>
              <w:top w:val="single" w:color="auto" w:sz="4" w:space="0"/>
              <w:left w:val="nil"/>
              <w:bottom w:val="single" w:color="auto" w:sz="4" w:space="0"/>
              <w:right w:val="single" w:color="auto" w:sz="4" w:space="0"/>
            </w:tcBorders>
            <w:noWrap w:val="0"/>
            <w:vAlign w:val="center"/>
          </w:tcPr>
          <w:p>
            <w:pPr>
              <w:spacing w:line="300" w:lineRule="exact"/>
              <w:rPr>
                <w:rFonts w:ascii="Calibri" w:hAnsi="Calibri" w:eastAsia="仿宋_GB2312" w:cs="宋体"/>
                <w:spacing w:val="-6"/>
                <w:szCs w:val="21"/>
              </w:rPr>
            </w:pPr>
            <w:r>
              <w:rPr>
                <w:rFonts w:hint="eastAsia"/>
                <w:spacing w:val="-6"/>
                <w:szCs w:val="21"/>
              </w:rPr>
              <w:t>1</w:t>
            </w:r>
            <w:r>
              <w:rPr>
                <w:rFonts w:hint="eastAsia" w:ascii="仿宋_GB2312"/>
                <w:spacing w:val="-6"/>
                <w:szCs w:val="21"/>
              </w:rPr>
              <w:t>、</w:t>
            </w:r>
            <w:r>
              <w:rPr>
                <w:rFonts w:ascii="仿宋_GB2312"/>
                <w:spacing w:val="-6"/>
                <w:szCs w:val="21"/>
              </w:rPr>
              <w:t>积极参于安全生产责任险项目</w:t>
            </w:r>
            <w:r>
              <w:rPr>
                <w:rFonts w:hint="eastAsia" w:ascii="仿宋_GB2312"/>
                <w:spacing w:val="-6"/>
                <w:szCs w:val="21"/>
              </w:rPr>
              <w:t>、市政重点项目</w:t>
            </w:r>
            <w:r>
              <w:rPr>
                <w:rFonts w:ascii="仿宋_GB2312"/>
                <w:spacing w:val="-6"/>
                <w:szCs w:val="21"/>
              </w:rPr>
              <w:t>，新增投保企业达到</w:t>
            </w:r>
            <w:r>
              <w:rPr>
                <w:rFonts w:hint="eastAsia"/>
                <w:spacing w:val="-6"/>
                <w:szCs w:val="21"/>
              </w:rPr>
              <w:t>1</w:t>
            </w:r>
            <w:r>
              <w:rPr>
                <w:spacing w:val="-6"/>
                <w:szCs w:val="21"/>
              </w:rPr>
              <w:t>0</w:t>
            </w:r>
            <w:r>
              <w:rPr>
                <w:rFonts w:ascii="仿宋_GB2312"/>
                <w:spacing w:val="-6"/>
                <w:szCs w:val="21"/>
              </w:rPr>
              <w:t>家的得基本分</w:t>
            </w:r>
            <w:r>
              <w:rPr>
                <w:rFonts w:hint="eastAsia"/>
                <w:spacing w:val="-6"/>
                <w:szCs w:val="21"/>
              </w:rPr>
              <w:t>15</w:t>
            </w:r>
            <w:r>
              <w:rPr>
                <w:rFonts w:ascii="仿宋_GB2312"/>
                <w:spacing w:val="-6"/>
                <w:szCs w:val="21"/>
              </w:rPr>
              <w:t>分，每增加</w:t>
            </w:r>
            <w:r>
              <w:rPr>
                <w:rFonts w:hint="eastAsia"/>
                <w:spacing w:val="-6"/>
                <w:szCs w:val="21"/>
              </w:rPr>
              <w:t>1</w:t>
            </w:r>
            <w:r>
              <w:rPr>
                <w:rFonts w:ascii="仿宋_GB2312"/>
                <w:spacing w:val="-6"/>
                <w:szCs w:val="21"/>
              </w:rPr>
              <w:t>家的加</w:t>
            </w:r>
            <w:r>
              <w:rPr>
                <w:rFonts w:hint="eastAsia"/>
                <w:spacing w:val="-6"/>
                <w:szCs w:val="21"/>
              </w:rPr>
              <w:t>0.5</w:t>
            </w:r>
            <w:r>
              <w:rPr>
                <w:rFonts w:ascii="仿宋_GB2312"/>
                <w:spacing w:val="-6"/>
                <w:szCs w:val="21"/>
              </w:rPr>
              <w:t>分，最高加</w:t>
            </w:r>
            <w:r>
              <w:rPr>
                <w:spacing w:val="-6"/>
                <w:szCs w:val="21"/>
              </w:rPr>
              <w:t>5</w:t>
            </w:r>
            <w:r>
              <w:rPr>
                <w:rFonts w:ascii="仿宋_GB2312"/>
                <w:spacing w:val="-6"/>
                <w:szCs w:val="21"/>
              </w:rPr>
              <w:t>分。</w:t>
            </w:r>
          </w:p>
          <w:p>
            <w:pPr>
              <w:spacing w:line="300" w:lineRule="exact"/>
              <w:rPr>
                <w:rFonts w:ascii="Calibri" w:hAnsi="Calibri" w:eastAsia="仿宋_GB2312" w:cs="宋体"/>
                <w:spacing w:val="-6"/>
                <w:szCs w:val="21"/>
              </w:rPr>
            </w:pPr>
            <w:r>
              <w:rPr>
                <w:rFonts w:hint="eastAsia"/>
                <w:spacing w:val="-6"/>
                <w:szCs w:val="21"/>
              </w:rPr>
              <w:t>2</w:t>
            </w:r>
            <w:r>
              <w:rPr>
                <w:rFonts w:hint="eastAsia" w:ascii="仿宋_GB2312"/>
                <w:spacing w:val="-6"/>
                <w:szCs w:val="21"/>
              </w:rPr>
              <w:t>、</w:t>
            </w:r>
            <w:r>
              <w:rPr>
                <w:rFonts w:ascii="仿宋_GB2312"/>
                <w:spacing w:val="-6"/>
                <w:szCs w:val="21"/>
              </w:rPr>
              <w:t>积极参于</w:t>
            </w:r>
            <w:r>
              <w:rPr>
                <w:rFonts w:hint="eastAsia" w:ascii="仿宋_GB2312"/>
                <w:spacing w:val="-6"/>
                <w:szCs w:val="21"/>
              </w:rPr>
              <w:t>农业保险</w:t>
            </w:r>
            <w:r>
              <w:rPr>
                <w:rFonts w:ascii="仿宋_GB2312"/>
                <w:spacing w:val="-6"/>
                <w:szCs w:val="21"/>
              </w:rPr>
              <w:t>项目，新增投保企业达到</w:t>
            </w:r>
            <w:r>
              <w:rPr>
                <w:rFonts w:hint="eastAsia"/>
                <w:spacing w:val="-6"/>
                <w:szCs w:val="21"/>
              </w:rPr>
              <w:t>1</w:t>
            </w:r>
            <w:r>
              <w:rPr>
                <w:spacing w:val="-6"/>
                <w:szCs w:val="21"/>
              </w:rPr>
              <w:t>0</w:t>
            </w:r>
            <w:r>
              <w:rPr>
                <w:rFonts w:ascii="仿宋_GB2312"/>
                <w:spacing w:val="-6"/>
                <w:szCs w:val="21"/>
              </w:rPr>
              <w:t>家的得基本分</w:t>
            </w:r>
            <w:r>
              <w:rPr>
                <w:spacing w:val="-6"/>
                <w:szCs w:val="21"/>
              </w:rPr>
              <w:t>1</w:t>
            </w:r>
            <w:r>
              <w:rPr>
                <w:rFonts w:hint="eastAsia"/>
                <w:spacing w:val="-6"/>
                <w:szCs w:val="21"/>
              </w:rPr>
              <w:t>5</w:t>
            </w:r>
            <w:r>
              <w:rPr>
                <w:rFonts w:ascii="仿宋_GB2312"/>
                <w:spacing w:val="-6"/>
                <w:szCs w:val="21"/>
              </w:rPr>
              <w:t>分，每增加</w:t>
            </w:r>
            <w:r>
              <w:rPr>
                <w:spacing w:val="-6"/>
                <w:szCs w:val="21"/>
              </w:rPr>
              <w:t>5</w:t>
            </w:r>
            <w:r>
              <w:rPr>
                <w:rFonts w:ascii="仿宋_GB2312"/>
                <w:spacing w:val="-6"/>
                <w:szCs w:val="21"/>
              </w:rPr>
              <w:t>家的加</w:t>
            </w:r>
            <w:r>
              <w:rPr>
                <w:spacing w:val="-6"/>
                <w:szCs w:val="21"/>
              </w:rPr>
              <w:t>1</w:t>
            </w:r>
            <w:r>
              <w:rPr>
                <w:rFonts w:ascii="仿宋_GB2312"/>
                <w:spacing w:val="-6"/>
                <w:szCs w:val="21"/>
              </w:rPr>
              <w:t>分，最高加</w:t>
            </w:r>
            <w:r>
              <w:rPr>
                <w:spacing w:val="-6"/>
                <w:szCs w:val="21"/>
              </w:rPr>
              <w:t>5</w:t>
            </w:r>
            <w:r>
              <w:rPr>
                <w:rFonts w:ascii="仿宋_GB2312"/>
                <w:spacing w:val="-6"/>
                <w:szCs w:val="21"/>
              </w:rPr>
              <w:t>分。</w:t>
            </w:r>
          </w:p>
        </w:tc>
        <w:tc>
          <w:tcPr>
            <w:tcW w:w="3767" w:type="dxa"/>
            <w:tcBorders>
              <w:top w:val="single" w:color="auto" w:sz="4" w:space="0"/>
              <w:left w:val="nil"/>
              <w:bottom w:val="single" w:color="auto" w:sz="4" w:space="0"/>
              <w:right w:val="single" w:color="auto" w:sz="4" w:space="0"/>
            </w:tcBorders>
            <w:noWrap w:val="0"/>
            <w:vAlign w:val="top"/>
          </w:tcPr>
          <w:p>
            <w:pPr>
              <w:spacing w:line="300" w:lineRule="exact"/>
              <w:rPr>
                <w:rFonts w:ascii="Calibri" w:hAnsi="Calibri" w:eastAsia="仿宋_GB2312" w:cs="宋体"/>
                <w:spacing w:val="-6"/>
                <w:szCs w:val="21"/>
              </w:rPr>
            </w:pPr>
            <w:r>
              <w:rPr>
                <w:rFonts w:hint="eastAsia"/>
                <w:spacing w:val="-6"/>
                <w:szCs w:val="21"/>
              </w:rPr>
              <w:t>1</w:t>
            </w:r>
            <w:r>
              <w:rPr>
                <w:rFonts w:hint="eastAsia" w:ascii="仿宋_GB2312"/>
                <w:spacing w:val="-6"/>
                <w:szCs w:val="21"/>
              </w:rPr>
              <w:t>、</w:t>
            </w:r>
            <w:r>
              <w:rPr>
                <w:rFonts w:ascii="仿宋_GB2312"/>
                <w:spacing w:val="-6"/>
                <w:szCs w:val="21"/>
              </w:rPr>
              <w:t>积极参于</w:t>
            </w:r>
            <w:r>
              <w:rPr>
                <w:rFonts w:hint="eastAsia" w:ascii="仿宋_GB2312"/>
                <w:spacing w:val="-6"/>
                <w:szCs w:val="21"/>
              </w:rPr>
              <w:t>企事业单位团体人身意健险</w:t>
            </w:r>
            <w:r>
              <w:rPr>
                <w:rFonts w:ascii="仿宋_GB2312"/>
                <w:spacing w:val="-6"/>
                <w:szCs w:val="21"/>
              </w:rPr>
              <w:t>项目</w:t>
            </w:r>
            <w:r>
              <w:rPr>
                <w:rFonts w:hint="eastAsia" w:ascii="仿宋_GB2312"/>
                <w:spacing w:val="-6"/>
                <w:szCs w:val="21"/>
              </w:rPr>
              <w:t>、市政重点项目</w:t>
            </w:r>
            <w:r>
              <w:rPr>
                <w:rFonts w:ascii="仿宋_GB2312"/>
                <w:spacing w:val="-6"/>
                <w:szCs w:val="21"/>
              </w:rPr>
              <w:t>，新增投保企业达到</w:t>
            </w:r>
            <w:r>
              <w:rPr>
                <w:rFonts w:hint="eastAsia"/>
                <w:spacing w:val="-6"/>
                <w:szCs w:val="21"/>
              </w:rPr>
              <w:t>1</w:t>
            </w:r>
            <w:r>
              <w:rPr>
                <w:spacing w:val="-6"/>
                <w:szCs w:val="21"/>
              </w:rPr>
              <w:t>0</w:t>
            </w:r>
            <w:r>
              <w:rPr>
                <w:rFonts w:ascii="仿宋_GB2312"/>
                <w:spacing w:val="-6"/>
                <w:szCs w:val="21"/>
              </w:rPr>
              <w:t>家的得基本分</w:t>
            </w:r>
            <w:r>
              <w:rPr>
                <w:rFonts w:hint="eastAsia"/>
                <w:spacing w:val="-6"/>
                <w:szCs w:val="21"/>
              </w:rPr>
              <w:t>15</w:t>
            </w:r>
            <w:r>
              <w:rPr>
                <w:rFonts w:ascii="仿宋_GB2312"/>
                <w:spacing w:val="-6"/>
                <w:szCs w:val="21"/>
              </w:rPr>
              <w:t>分，每增加</w:t>
            </w:r>
            <w:r>
              <w:rPr>
                <w:rFonts w:hint="eastAsia"/>
                <w:spacing w:val="-6"/>
                <w:szCs w:val="21"/>
              </w:rPr>
              <w:t>1</w:t>
            </w:r>
            <w:r>
              <w:rPr>
                <w:rFonts w:ascii="仿宋_GB2312"/>
                <w:spacing w:val="-6"/>
                <w:szCs w:val="21"/>
              </w:rPr>
              <w:t>家的加</w:t>
            </w:r>
            <w:r>
              <w:rPr>
                <w:rFonts w:hint="eastAsia"/>
                <w:spacing w:val="-6"/>
                <w:szCs w:val="21"/>
              </w:rPr>
              <w:t>0.5</w:t>
            </w:r>
            <w:r>
              <w:rPr>
                <w:rFonts w:ascii="仿宋_GB2312"/>
                <w:spacing w:val="-6"/>
                <w:szCs w:val="21"/>
              </w:rPr>
              <w:t>分，最高加</w:t>
            </w:r>
            <w:r>
              <w:rPr>
                <w:spacing w:val="-6"/>
                <w:szCs w:val="21"/>
              </w:rPr>
              <w:t>5</w:t>
            </w:r>
            <w:r>
              <w:rPr>
                <w:rFonts w:ascii="仿宋_GB2312"/>
                <w:spacing w:val="-6"/>
                <w:szCs w:val="21"/>
              </w:rPr>
              <w:t>分。</w:t>
            </w:r>
          </w:p>
          <w:p>
            <w:pPr>
              <w:spacing w:line="300" w:lineRule="exact"/>
              <w:rPr>
                <w:rFonts w:ascii="Calibri" w:hAnsi="Calibri" w:eastAsia="仿宋_GB2312" w:cs="宋体"/>
                <w:spacing w:val="-6"/>
                <w:szCs w:val="21"/>
              </w:rPr>
            </w:pPr>
            <w:r>
              <w:rPr>
                <w:rFonts w:hint="eastAsia"/>
                <w:spacing w:val="-6"/>
                <w:szCs w:val="21"/>
              </w:rPr>
              <w:t>2</w:t>
            </w:r>
            <w:r>
              <w:rPr>
                <w:rFonts w:hint="eastAsia" w:ascii="仿宋_GB2312"/>
                <w:spacing w:val="-6"/>
                <w:szCs w:val="21"/>
              </w:rPr>
              <w:t>、积极参与普惠型民生保险项目，投保保费规模达到</w:t>
            </w:r>
            <w:r>
              <w:rPr>
                <w:rFonts w:hint="eastAsia"/>
                <w:spacing w:val="-6"/>
                <w:szCs w:val="21"/>
              </w:rPr>
              <w:t>50</w:t>
            </w:r>
            <w:r>
              <w:rPr>
                <w:rFonts w:hint="eastAsia" w:ascii="仿宋_GB2312"/>
                <w:spacing w:val="-6"/>
                <w:szCs w:val="21"/>
              </w:rPr>
              <w:t>万的得基本分</w:t>
            </w:r>
            <w:r>
              <w:rPr>
                <w:rFonts w:hint="eastAsia"/>
                <w:spacing w:val="-6"/>
                <w:szCs w:val="21"/>
              </w:rPr>
              <w:t>15</w:t>
            </w:r>
            <w:r>
              <w:rPr>
                <w:rFonts w:hint="eastAsia" w:ascii="仿宋_GB2312"/>
                <w:spacing w:val="-6"/>
                <w:szCs w:val="21"/>
              </w:rPr>
              <w:t>分，每增加</w:t>
            </w:r>
            <w:r>
              <w:rPr>
                <w:rFonts w:hint="eastAsia"/>
                <w:spacing w:val="-6"/>
                <w:szCs w:val="21"/>
              </w:rPr>
              <w:t>10</w:t>
            </w:r>
            <w:r>
              <w:rPr>
                <w:rFonts w:hint="eastAsia" w:ascii="仿宋_GB2312"/>
                <w:spacing w:val="-6"/>
                <w:szCs w:val="21"/>
              </w:rPr>
              <w:t>万的加</w:t>
            </w:r>
            <w:r>
              <w:rPr>
                <w:rFonts w:hint="eastAsia"/>
                <w:spacing w:val="-6"/>
                <w:szCs w:val="21"/>
              </w:rPr>
              <w:t>1</w:t>
            </w:r>
            <w:r>
              <w:rPr>
                <w:rFonts w:hint="eastAsia" w:ascii="仿宋_GB2312"/>
                <w:spacing w:val="-6"/>
                <w:szCs w:val="21"/>
              </w:rPr>
              <w:t>分，最高加</w:t>
            </w:r>
            <w:r>
              <w:rPr>
                <w:rFonts w:hint="eastAsia"/>
                <w:spacing w:val="-6"/>
                <w:szCs w:val="21"/>
              </w:rPr>
              <w:t>5</w:t>
            </w:r>
            <w:r>
              <w:rPr>
                <w:rFonts w:hint="eastAsia" w:ascii="仿宋_GB2312"/>
                <w:spacing w:val="-6"/>
                <w:szCs w:val="21"/>
              </w:rPr>
              <w:t>分。</w:t>
            </w:r>
          </w:p>
        </w:tc>
      </w:tr>
      <w:tr>
        <w:tblPrEx>
          <w:tblCellMar>
            <w:top w:w="0" w:type="dxa"/>
            <w:left w:w="108" w:type="dxa"/>
            <w:bottom w:w="0" w:type="dxa"/>
            <w:right w:w="108" w:type="dxa"/>
          </w:tblCellMar>
        </w:tblPrEx>
        <w:trPr>
          <w:trHeight w:val="90" w:hRule="atLeast"/>
        </w:trPr>
        <w:tc>
          <w:tcPr>
            <w:tcW w:w="109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ascii="Calibri" w:hAnsi="Calibri" w:eastAsia="仿宋_GB2312" w:cs="宋体"/>
                <w:szCs w:val="21"/>
              </w:rPr>
            </w:pPr>
            <w:r>
              <w:rPr>
                <w:rFonts w:hint="eastAsia" w:ascii="仿宋_GB2312"/>
                <w:szCs w:val="21"/>
              </w:rPr>
              <w:t>地方税收贡献情况</w:t>
            </w:r>
          </w:p>
        </w:tc>
        <w:tc>
          <w:tcPr>
            <w:tcW w:w="90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Calibri" w:eastAsia="仿宋_GB2312" w:cs="宋体"/>
                <w:kern w:val="0"/>
                <w:szCs w:val="21"/>
              </w:rPr>
            </w:pPr>
            <w:r>
              <w:rPr>
                <w:rFonts w:hint="eastAsia"/>
                <w:kern w:val="0"/>
                <w:szCs w:val="21"/>
              </w:rPr>
              <w:t>25</w:t>
            </w:r>
          </w:p>
        </w:tc>
        <w:tc>
          <w:tcPr>
            <w:tcW w:w="3027"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Calibri" w:eastAsia="仿宋_GB2312" w:cs="宋体"/>
                <w:spacing w:val="-6"/>
                <w:szCs w:val="21"/>
              </w:rPr>
            </w:pPr>
            <w:r>
              <w:rPr>
                <w:rFonts w:hint="eastAsia" w:ascii="仿宋_GB2312"/>
                <w:spacing w:val="-6"/>
                <w:szCs w:val="21"/>
              </w:rPr>
              <w:t>本年度缴纳的各项地方税收之和。根据纳税规模及在保费规模中的占比情况综合排名，其中第一名</w:t>
            </w:r>
            <w:r>
              <w:rPr>
                <w:rFonts w:hint="eastAsia"/>
                <w:spacing w:val="-6"/>
                <w:szCs w:val="21"/>
              </w:rPr>
              <w:t>25</w:t>
            </w:r>
            <w:r>
              <w:rPr>
                <w:rFonts w:hint="eastAsia" w:ascii="仿宋_GB2312"/>
                <w:spacing w:val="-6"/>
                <w:szCs w:val="21"/>
              </w:rPr>
              <w:t>分，每落后一个位次减</w:t>
            </w:r>
            <w:r>
              <w:rPr>
                <w:rFonts w:hint="eastAsia"/>
                <w:spacing w:val="-6"/>
                <w:szCs w:val="21"/>
              </w:rPr>
              <w:t>1</w:t>
            </w:r>
            <w:r>
              <w:rPr>
                <w:rFonts w:hint="eastAsia" w:ascii="仿宋_GB2312"/>
                <w:spacing w:val="-6"/>
                <w:szCs w:val="21"/>
              </w:rPr>
              <w:t>分。</w:t>
            </w:r>
          </w:p>
        </w:tc>
        <w:tc>
          <w:tcPr>
            <w:tcW w:w="3767"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Calibri" w:eastAsia="仿宋_GB2312" w:cs="宋体"/>
                <w:spacing w:val="-6"/>
                <w:szCs w:val="21"/>
              </w:rPr>
            </w:pPr>
            <w:r>
              <w:rPr>
                <w:rFonts w:hint="eastAsia" w:ascii="仿宋_GB2312"/>
                <w:spacing w:val="-6"/>
                <w:szCs w:val="21"/>
              </w:rPr>
              <w:t>本年度缴纳的各项地方税收之和。根据纳税规模及在保费规模中的占比情况综合排名，其中第一名</w:t>
            </w:r>
            <w:r>
              <w:rPr>
                <w:rFonts w:hint="eastAsia"/>
                <w:spacing w:val="-6"/>
                <w:szCs w:val="21"/>
              </w:rPr>
              <w:t>25</w:t>
            </w:r>
            <w:r>
              <w:rPr>
                <w:rFonts w:hint="eastAsia" w:ascii="仿宋_GB2312"/>
                <w:spacing w:val="-6"/>
                <w:szCs w:val="21"/>
              </w:rPr>
              <w:t>分，每落后一个位次减</w:t>
            </w:r>
            <w:r>
              <w:rPr>
                <w:rFonts w:hint="eastAsia"/>
                <w:spacing w:val="-6"/>
                <w:szCs w:val="21"/>
              </w:rPr>
              <w:t>0.5</w:t>
            </w:r>
            <w:r>
              <w:rPr>
                <w:rFonts w:hint="eastAsia" w:ascii="仿宋_GB2312"/>
                <w:spacing w:val="-6"/>
                <w:szCs w:val="21"/>
              </w:rPr>
              <w:t>分。</w:t>
            </w:r>
          </w:p>
        </w:tc>
      </w:tr>
      <w:tr>
        <w:tblPrEx>
          <w:tblCellMar>
            <w:top w:w="0" w:type="dxa"/>
            <w:left w:w="108" w:type="dxa"/>
            <w:bottom w:w="0" w:type="dxa"/>
            <w:right w:w="108" w:type="dxa"/>
          </w:tblCellMar>
        </w:tblPrEx>
        <w:trPr>
          <w:trHeight w:val="90" w:hRule="atLeast"/>
        </w:trPr>
        <w:tc>
          <w:tcPr>
            <w:tcW w:w="109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ascii="Calibri" w:hAnsi="Calibri" w:eastAsia="仿宋_GB2312" w:cs="宋体"/>
                <w:szCs w:val="21"/>
              </w:rPr>
            </w:pPr>
            <w:r>
              <w:rPr>
                <w:rFonts w:ascii="仿宋_GB2312"/>
                <w:szCs w:val="21"/>
              </w:rPr>
              <w:t>保费收入</w:t>
            </w:r>
            <w:r>
              <w:rPr>
                <w:rFonts w:hint="eastAsia" w:ascii="仿宋_GB2312"/>
                <w:szCs w:val="21"/>
              </w:rPr>
              <w:t>、保费增长及赔付支出情况</w:t>
            </w:r>
          </w:p>
        </w:tc>
        <w:tc>
          <w:tcPr>
            <w:tcW w:w="905"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Calibri" w:eastAsia="仿宋_GB2312" w:cs="宋体"/>
                <w:kern w:val="0"/>
                <w:szCs w:val="21"/>
              </w:rPr>
            </w:pPr>
            <w:r>
              <w:rPr>
                <w:rFonts w:hint="eastAsia"/>
                <w:kern w:val="0"/>
                <w:szCs w:val="21"/>
              </w:rPr>
              <w:t>15</w:t>
            </w:r>
          </w:p>
        </w:tc>
        <w:tc>
          <w:tcPr>
            <w:tcW w:w="3027"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Calibri" w:eastAsia="仿宋_GB2312" w:cs="宋体"/>
                <w:spacing w:val="-6"/>
                <w:szCs w:val="21"/>
              </w:rPr>
            </w:pPr>
            <w:r>
              <w:rPr>
                <w:rFonts w:hint="eastAsia" w:ascii="仿宋_GB2312"/>
                <w:spacing w:val="-6"/>
                <w:szCs w:val="21"/>
              </w:rPr>
              <w:t>根据保费规模排名。第一名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p>
            <w:pPr>
              <w:spacing w:line="300" w:lineRule="exact"/>
              <w:rPr>
                <w:rFonts w:hint="eastAsia" w:ascii="仿宋_GB2312"/>
                <w:spacing w:val="-6"/>
                <w:szCs w:val="21"/>
              </w:rPr>
            </w:pPr>
            <w:r>
              <w:rPr>
                <w:rFonts w:hint="eastAsia" w:ascii="仿宋_GB2312"/>
                <w:spacing w:val="-6"/>
                <w:szCs w:val="21"/>
              </w:rPr>
              <w:t>根据保费增速排名。第一名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p>
            <w:pPr>
              <w:spacing w:line="300" w:lineRule="exact"/>
              <w:rPr>
                <w:rFonts w:ascii="仿宋_GB2312" w:hAnsi="Calibri" w:eastAsia="仿宋_GB2312" w:cs="宋体"/>
                <w:spacing w:val="-6"/>
                <w:szCs w:val="21"/>
              </w:rPr>
            </w:pPr>
            <w:r>
              <w:rPr>
                <w:rFonts w:hint="eastAsia" w:ascii="仿宋_GB2312"/>
                <w:spacing w:val="-6"/>
                <w:szCs w:val="21"/>
              </w:rPr>
              <w:t>根据赔款和给付总额排名。第一名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tc>
        <w:tc>
          <w:tcPr>
            <w:tcW w:w="3767"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Calibri" w:eastAsia="仿宋_GB2312" w:cs="宋体"/>
                <w:spacing w:val="-6"/>
                <w:szCs w:val="21"/>
              </w:rPr>
            </w:pPr>
            <w:r>
              <w:rPr>
                <w:rFonts w:hint="eastAsia" w:ascii="仿宋_GB2312"/>
                <w:spacing w:val="-6"/>
                <w:szCs w:val="21"/>
              </w:rPr>
              <w:t>根据保费规模排名。第一名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p>
            <w:pPr>
              <w:spacing w:line="300" w:lineRule="exact"/>
              <w:rPr>
                <w:rFonts w:hint="eastAsia" w:ascii="仿宋_GB2312"/>
                <w:spacing w:val="-6"/>
                <w:szCs w:val="21"/>
              </w:rPr>
            </w:pPr>
            <w:r>
              <w:rPr>
                <w:rFonts w:hint="eastAsia" w:ascii="仿宋_GB2312"/>
                <w:spacing w:val="-6"/>
                <w:szCs w:val="21"/>
              </w:rPr>
              <w:t>根据保费增速排名。第一名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p>
            <w:pPr>
              <w:spacing w:line="300" w:lineRule="exact"/>
              <w:rPr>
                <w:rFonts w:ascii="仿宋_GB2312" w:hAnsi="Calibri" w:eastAsia="仿宋_GB2312" w:cs="宋体"/>
                <w:spacing w:val="-6"/>
                <w:szCs w:val="21"/>
              </w:rPr>
            </w:pPr>
            <w:r>
              <w:rPr>
                <w:rFonts w:hint="eastAsia" w:ascii="仿宋_GB2312"/>
                <w:spacing w:val="-6"/>
                <w:szCs w:val="21"/>
              </w:rPr>
              <w:t>根据赔款和给付总额排名。第一名</w:t>
            </w:r>
            <w:r>
              <w:rPr>
                <w:rFonts w:hint="eastAsia"/>
                <w:spacing w:val="-6"/>
                <w:szCs w:val="21"/>
              </w:rPr>
              <w:t>5</w:t>
            </w:r>
            <w:r>
              <w:rPr>
                <w:rFonts w:hint="eastAsia" w:ascii="仿宋_GB2312"/>
                <w:spacing w:val="-6"/>
                <w:szCs w:val="21"/>
              </w:rPr>
              <w:t>分，每落后一个位次减</w:t>
            </w:r>
            <w:r>
              <w:rPr>
                <w:rFonts w:hint="eastAsia"/>
                <w:spacing w:val="-6"/>
                <w:szCs w:val="21"/>
              </w:rPr>
              <w:t>0.15</w:t>
            </w:r>
            <w:r>
              <w:rPr>
                <w:rFonts w:hint="eastAsia" w:ascii="仿宋_GB2312"/>
                <w:spacing w:val="-6"/>
                <w:szCs w:val="21"/>
              </w:rPr>
              <w:t>分。</w:t>
            </w:r>
          </w:p>
        </w:tc>
      </w:tr>
      <w:tr>
        <w:tblPrEx>
          <w:tblCellMar>
            <w:top w:w="0" w:type="dxa"/>
            <w:left w:w="108" w:type="dxa"/>
            <w:bottom w:w="0" w:type="dxa"/>
            <w:right w:w="108" w:type="dxa"/>
          </w:tblCellMar>
        </w:tblPrEx>
        <w:trPr>
          <w:trHeight w:val="938" w:hRule="atLeast"/>
        </w:trPr>
        <w:tc>
          <w:tcPr>
            <w:tcW w:w="1094" w:type="dxa"/>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_GB2312" w:hAnsi="Calibri" w:eastAsia="仿宋_GB2312" w:cs="宋体"/>
                <w:szCs w:val="21"/>
              </w:rPr>
            </w:pPr>
            <w:r>
              <w:rPr>
                <w:rFonts w:hint="eastAsia" w:ascii="仿宋_GB2312"/>
                <w:szCs w:val="21"/>
              </w:rPr>
              <w:t>履行社会责任情况</w:t>
            </w:r>
          </w:p>
        </w:tc>
        <w:tc>
          <w:tcPr>
            <w:tcW w:w="905" w:type="dxa"/>
            <w:tcBorders>
              <w:top w:val="nil"/>
              <w:left w:val="nil"/>
              <w:bottom w:val="single" w:color="auto" w:sz="4" w:space="0"/>
              <w:right w:val="single" w:color="auto" w:sz="4" w:space="0"/>
            </w:tcBorders>
            <w:noWrap w:val="0"/>
            <w:vAlign w:val="center"/>
          </w:tcPr>
          <w:p>
            <w:pPr>
              <w:widowControl/>
              <w:spacing w:line="300" w:lineRule="exact"/>
              <w:jc w:val="center"/>
              <w:rPr>
                <w:rFonts w:ascii="Calibri" w:hAnsi="Calibri" w:eastAsia="仿宋_GB2312" w:cs="宋体"/>
                <w:kern w:val="0"/>
                <w:szCs w:val="21"/>
              </w:rPr>
            </w:pPr>
            <w:r>
              <w:rPr>
                <w:rFonts w:hint="eastAsia"/>
                <w:kern w:val="0"/>
                <w:szCs w:val="21"/>
              </w:rPr>
              <w:t>10</w:t>
            </w:r>
          </w:p>
        </w:tc>
        <w:tc>
          <w:tcPr>
            <w:tcW w:w="3027"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Calibri" w:eastAsia="仿宋_GB2312" w:cs="宋体"/>
                <w:spacing w:val="-6"/>
                <w:szCs w:val="21"/>
              </w:rPr>
            </w:pPr>
            <w:r>
              <w:rPr>
                <w:rFonts w:hint="eastAsia" w:ascii="仿宋_GB2312"/>
                <w:spacing w:val="-6"/>
                <w:szCs w:val="21"/>
              </w:rPr>
              <w:t>综合评价解决人员就业、扶贫济困、慈善捐赠、信访投诉、配合区政府等社会责任情况，开展行风评议，其中第一名</w:t>
            </w:r>
            <w:r>
              <w:rPr>
                <w:rFonts w:hint="eastAsia"/>
                <w:spacing w:val="-6"/>
                <w:szCs w:val="21"/>
              </w:rPr>
              <w:t>10</w:t>
            </w:r>
            <w:r>
              <w:rPr>
                <w:rFonts w:hint="eastAsia" w:ascii="仿宋_GB2312"/>
                <w:spacing w:val="-6"/>
                <w:szCs w:val="21"/>
              </w:rPr>
              <w:t>分，每落后一个位次减</w:t>
            </w:r>
            <w:r>
              <w:rPr>
                <w:rFonts w:hint="eastAsia"/>
                <w:spacing w:val="-6"/>
                <w:szCs w:val="21"/>
              </w:rPr>
              <w:t>0.3</w:t>
            </w:r>
            <w:r>
              <w:rPr>
                <w:rFonts w:hint="eastAsia" w:ascii="仿宋_GB2312"/>
                <w:spacing w:val="-6"/>
                <w:szCs w:val="21"/>
              </w:rPr>
              <w:t>分。</w:t>
            </w:r>
          </w:p>
        </w:tc>
        <w:tc>
          <w:tcPr>
            <w:tcW w:w="3767" w:type="dxa"/>
            <w:tcBorders>
              <w:top w:val="single" w:color="auto" w:sz="4" w:space="0"/>
              <w:left w:val="nil"/>
              <w:bottom w:val="single" w:color="auto" w:sz="4" w:space="0"/>
              <w:right w:val="single" w:color="auto" w:sz="4" w:space="0"/>
            </w:tcBorders>
            <w:noWrap w:val="0"/>
            <w:vAlign w:val="top"/>
          </w:tcPr>
          <w:p>
            <w:pPr>
              <w:spacing w:line="300" w:lineRule="exact"/>
              <w:rPr>
                <w:rFonts w:ascii="仿宋_GB2312" w:hAnsi="Calibri" w:eastAsia="仿宋_GB2312" w:cs="宋体"/>
                <w:spacing w:val="-6"/>
                <w:szCs w:val="21"/>
              </w:rPr>
            </w:pPr>
            <w:r>
              <w:rPr>
                <w:rFonts w:hint="eastAsia" w:ascii="仿宋_GB2312"/>
                <w:spacing w:val="-6"/>
                <w:szCs w:val="21"/>
              </w:rPr>
              <w:t>综合评价解决人员就业、扶贫济困、慈善捐赠、信访投诉、配合区政府等社会责任情况，开展行风评议，其中第一名</w:t>
            </w:r>
            <w:r>
              <w:rPr>
                <w:rFonts w:hint="eastAsia"/>
                <w:spacing w:val="-6"/>
                <w:szCs w:val="21"/>
              </w:rPr>
              <w:t>10</w:t>
            </w:r>
            <w:r>
              <w:rPr>
                <w:rFonts w:hint="eastAsia" w:ascii="仿宋_GB2312"/>
                <w:spacing w:val="-6"/>
                <w:szCs w:val="21"/>
              </w:rPr>
              <w:t>分，每落后一个位次减</w:t>
            </w:r>
            <w:r>
              <w:rPr>
                <w:rFonts w:hint="eastAsia"/>
                <w:spacing w:val="-6"/>
                <w:szCs w:val="21"/>
              </w:rPr>
              <w:t>0.3</w:t>
            </w:r>
            <w:r>
              <w:rPr>
                <w:rFonts w:hint="eastAsia" w:ascii="仿宋_GB2312"/>
                <w:spacing w:val="-6"/>
                <w:szCs w:val="21"/>
              </w:rPr>
              <w:t>分。</w:t>
            </w:r>
          </w:p>
        </w:tc>
      </w:tr>
      <w:tr>
        <w:tblPrEx>
          <w:tblCellMar>
            <w:top w:w="0" w:type="dxa"/>
            <w:left w:w="108" w:type="dxa"/>
            <w:bottom w:w="0" w:type="dxa"/>
            <w:right w:w="108" w:type="dxa"/>
          </w:tblCellMar>
        </w:tblPrEx>
        <w:trPr>
          <w:trHeight w:val="396" w:hRule="atLeast"/>
        </w:trPr>
        <w:tc>
          <w:tcPr>
            <w:tcW w:w="109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Calibri" w:hAnsi="Calibri" w:eastAsia="仿宋_GB2312" w:cs="宋体"/>
                <w:szCs w:val="21"/>
              </w:rPr>
            </w:pPr>
            <w:r>
              <w:rPr>
                <w:rFonts w:ascii="仿宋_GB2312"/>
                <w:szCs w:val="21"/>
              </w:rPr>
              <w:t>合计</w:t>
            </w:r>
          </w:p>
        </w:tc>
        <w:tc>
          <w:tcPr>
            <w:tcW w:w="905" w:type="dxa"/>
            <w:tcBorders>
              <w:top w:val="nil"/>
              <w:left w:val="nil"/>
              <w:bottom w:val="single" w:color="auto" w:sz="4" w:space="0"/>
              <w:right w:val="single" w:color="auto" w:sz="4" w:space="0"/>
            </w:tcBorders>
            <w:noWrap w:val="0"/>
            <w:vAlign w:val="center"/>
          </w:tcPr>
          <w:p>
            <w:pPr>
              <w:spacing w:line="300" w:lineRule="exact"/>
              <w:jc w:val="center"/>
              <w:rPr>
                <w:rFonts w:ascii="仿宋_GB2312" w:hAnsi="Calibri" w:eastAsia="仿宋_GB2312" w:cs="宋体"/>
                <w:szCs w:val="21"/>
              </w:rPr>
            </w:pPr>
            <w:r>
              <w:rPr>
                <w:szCs w:val="21"/>
              </w:rPr>
              <w:t>100</w:t>
            </w:r>
          </w:p>
        </w:tc>
        <w:tc>
          <w:tcPr>
            <w:tcW w:w="6794" w:type="dxa"/>
            <w:gridSpan w:val="2"/>
            <w:tcBorders>
              <w:top w:val="nil"/>
              <w:left w:val="nil"/>
              <w:bottom w:val="single" w:color="auto" w:sz="4" w:space="0"/>
              <w:right w:val="single" w:color="auto" w:sz="4" w:space="0"/>
            </w:tcBorders>
            <w:noWrap w:val="0"/>
            <w:vAlign w:val="center"/>
          </w:tcPr>
          <w:p>
            <w:pPr>
              <w:spacing w:line="300" w:lineRule="exact"/>
              <w:jc w:val="center"/>
              <w:rPr>
                <w:rFonts w:ascii="Calibri" w:hAnsi="Calibri" w:eastAsia="仿宋_GB2312" w:cs="宋体"/>
                <w:szCs w:val="21"/>
              </w:rPr>
            </w:pPr>
          </w:p>
        </w:tc>
      </w:tr>
    </w:tbl>
    <w:p>
      <w:pPr>
        <w:rPr>
          <w:rFonts w:hint="eastAsia"/>
          <w:color w:val="454545"/>
          <w:sz w:val="30"/>
          <w:szCs w:val="30"/>
        </w:rPr>
      </w:pPr>
      <w:r>
        <w:t xml:space="preserve"> </w:t>
      </w:r>
    </w:p>
    <w:p/>
    <w:sectPr>
      <w:pgSz w:w="11906" w:h="16838"/>
      <w:pgMar w:top="2098" w:right="1531" w:bottom="1985" w:left="1531" w:header="170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TUyMWIzZjJmMjc2MGEzNTNjM2JlODBiZWM2ZTYifQ=="/>
  </w:docVars>
  <w:rsids>
    <w:rsidRoot w:val="55AE38CC"/>
    <w:rsid w:val="55AE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3356</Words>
  <Characters>3476</Characters>
  <Lines>0</Lines>
  <Paragraphs>0</Paragraphs>
  <TotalTime>0</TotalTime>
  <ScaleCrop>false</ScaleCrop>
  <LinksUpToDate>false</LinksUpToDate>
  <CharactersWithSpaces>3499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2023-07-24T08:45:00Z</dcterms:created>
  <dc:creator>Administrator</dc:creator>
  <cp:lastModifiedBy>Administrator</cp:lastModifiedBy>
  <dcterms:modified xsi:type="dcterms:W3CDTF">2023-07-24T08:45:56Z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77A74A7C6E6E47618FDA35F70D7ED30B_11</vt:lpwstr>
  </property>
</Properties>
</file>