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EA5FE">
      <w:pPr>
        <w:pStyle w:val="2"/>
        <w:spacing w:before="9"/>
        <w:rPr>
          <w:rFonts w:ascii="Times New Roman"/>
          <w:sz w:val="24"/>
        </w:rPr>
      </w:pPr>
    </w:p>
    <w:p w14:paraId="3ADF87B5">
      <w:pPr>
        <w:pStyle w:val="2"/>
        <w:ind w:left="834"/>
        <w:rPr>
          <w:rFonts w:ascii="Times New Roman"/>
          <w:sz w:val="20"/>
        </w:rPr>
      </w:pPr>
      <w:r>
        <w:rPr>
          <w:rFonts w:ascii="Times New Roman"/>
          <w:sz w:val="20"/>
        </w:rPr>
        <w:drawing>
          <wp:inline distT="0" distB="0" distL="0" distR="0">
            <wp:extent cx="4926965" cy="28575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1" cstate="print"/>
                    <a:stretch>
                      <a:fillRect/>
                    </a:stretch>
                  </pic:blipFill>
                  <pic:spPr>
                    <a:xfrm>
                      <a:off x="0" y="0"/>
                      <a:ext cx="4927348" cy="286035"/>
                    </a:xfrm>
                    <a:prstGeom prst="rect">
                      <a:avLst/>
                    </a:prstGeom>
                  </pic:spPr>
                </pic:pic>
              </a:graphicData>
            </a:graphic>
          </wp:inline>
        </w:drawing>
      </w:r>
    </w:p>
    <w:p w14:paraId="0CCBAC37">
      <w:pPr>
        <w:pStyle w:val="2"/>
        <w:spacing w:before="8"/>
        <w:rPr>
          <w:rFonts w:ascii="Times New Roman"/>
          <w:sz w:val="12"/>
        </w:rPr>
      </w:pPr>
      <w:r>
        <w:drawing>
          <wp:anchor distT="0" distB="0" distL="0" distR="0" simplePos="0" relativeHeight="251659264" behindDoc="0" locked="0" layoutInCell="1" allowOverlap="1">
            <wp:simplePos x="0" y="0"/>
            <wp:positionH relativeFrom="page">
              <wp:posOffset>2709545</wp:posOffset>
            </wp:positionH>
            <wp:positionV relativeFrom="paragraph">
              <wp:posOffset>107950</wp:posOffset>
            </wp:positionV>
            <wp:extent cx="2319020" cy="28067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2" cstate="print"/>
                    <a:stretch>
                      <a:fillRect/>
                    </a:stretch>
                  </pic:blipFill>
                  <pic:spPr>
                    <a:xfrm>
                      <a:off x="0" y="0"/>
                      <a:ext cx="2319062" cy="280701"/>
                    </a:xfrm>
                    <a:prstGeom prst="rect">
                      <a:avLst/>
                    </a:prstGeom>
                  </pic:spPr>
                </pic:pic>
              </a:graphicData>
            </a:graphic>
          </wp:anchor>
        </w:drawing>
      </w:r>
    </w:p>
    <w:p w14:paraId="22149DF4">
      <w:pPr>
        <w:pStyle w:val="2"/>
        <w:rPr>
          <w:rFonts w:ascii="Times New Roman"/>
          <w:sz w:val="20"/>
        </w:rPr>
      </w:pPr>
    </w:p>
    <w:p w14:paraId="36AE1DA8">
      <w:pPr>
        <w:pStyle w:val="2"/>
        <w:rPr>
          <w:rFonts w:ascii="Times New Roman"/>
          <w:sz w:val="20"/>
        </w:rPr>
      </w:pPr>
    </w:p>
    <w:p w14:paraId="1EF44090">
      <w:pPr>
        <w:pStyle w:val="2"/>
        <w:spacing w:before="8"/>
        <w:rPr>
          <w:rFonts w:ascii="Times New Roman"/>
          <w:sz w:val="19"/>
        </w:rPr>
      </w:pPr>
    </w:p>
    <w:p w14:paraId="40616CF1">
      <w:pPr>
        <w:pStyle w:val="2"/>
        <w:spacing w:before="54" w:line="328" w:lineRule="auto"/>
        <w:ind w:left="106" w:right="430" w:firstLine="633"/>
        <w:jc w:val="both"/>
      </w:pPr>
      <w:r>
        <w:rPr>
          <w:spacing w:val="-6"/>
          <w:w w:val="99"/>
        </w:rPr>
        <w:t>为深入贯彻落实党中央、国务院决策部署和省委、省政府，</w:t>
      </w:r>
      <w:r>
        <w:rPr>
          <w:spacing w:val="-5"/>
          <w:w w:val="99"/>
        </w:rPr>
        <w:t>市委、市政府，区委、区政府工作安排，全面消除全区经营性自建房质量安全隐患，切实保护人民群众生命财产安全，结合我区实际，制定本方案。</w:t>
      </w:r>
    </w:p>
    <w:p w14:paraId="37154FDA">
      <w:pPr>
        <w:pStyle w:val="2"/>
        <w:spacing w:line="402" w:lineRule="exact"/>
        <w:ind w:left="737"/>
        <w:rPr>
          <w:rFonts w:ascii="黑体" w:eastAsia="黑体"/>
        </w:rPr>
      </w:pPr>
      <w:r>
        <w:rPr>
          <w:rFonts w:ascii="黑体" w:eastAsia="黑体"/>
          <w:spacing w:val="-2"/>
          <w:w w:val="95"/>
        </w:rPr>
        <w:t>一、总体要求</w:t>
      </w:r>
    </w:p>
    <w:p w14:paraId="5F356167">
      <w:pPr>
        <w:pStyle w:val="2"/>
        <w:spacing w:before="149" w:line="328" w:lineRule="auto"/>
        <w:ind w:left="106" w:right="429" w:firstLine="633"/>
        <w:jc w:val="both"/>
      </w:pPr>
      <w:r>
        <w:rPr>
          <w:spacing w:val="-5"/>
          <w:w w:val="99"/>
        </w:rPr>
        <w:t>以习近平新时代中国特色社会主义思想为指导，深入贯彻习近平总书记关于安全生产重要论述和重要指示批示精神，坚持人民至上、生命至上，坚持统筹发展和安全，坚持标本兼治、重在治本，坚持问题导向、目标导向、结果导向。以坚决遏制较大以上事故为底线，在全区自建房安全专项整治工作成果基础上，按照“谁拥有谁负责、谁使用谁负责、谁主管谁负责、谁审批谁负责”的原则，迅速对各类经营性自建房安全隐患进行再排查、再整治、再提升，进一步整治存量、遏制增量，完善体制机制，确保“经营不带险、带险不经营”，坚决防范经营性自建房房屋安全事故发生。</w:t>
      </w:r>
    </w:p>
    <w:p w14:paraId="1DECFE8D">
      <w:pPr>
        <w:pStyle w:val="2"/>
        <w:spacing w:line="395" w:lineRule="exact"/>
        <w:ind w:left="737"/>
        <w:rPr>
          <w:rFonts w:ascii="黑体" w:eastAsia="黑体"/>
        </w:rPr>
      </w:pPr>
      <w:r>
        <w:rPr>
          <w:rFonts w:ascii="黑体" w:eastAsia="黑体"/>
          <w:spacing w:val="-2"/>
          <w:w w:val="95"/>
        </w:rPr>
        <w:t>二、重点任务</w:t>
      </w:r>
    </w:p>
    <w:p w14:paraId="1BBCE284">
      <w:pPr>
        <w:pStyle w:val="2"/>
        <w:spacing w:before="149" w:line="328" w:lineRule="auto"/>
        <w:ind w:left="106" w:right="270" w:firstLine="633"/>
      </w:pPr>
      <w:r>
        <w:rPr>
          <w:rFonts w:ascii="楷体" w:eastAsia="楷体"/>
          <w:spacing w:val="-5"/>
          <w:w w:val="99"/>
        </w:rPr>
        <w:t>（一</w:t>
      </w:r>
      <w:r>
        <w:rPr>
          <w:rFonts w:ascii="楷体" w:eastAsia="楷体"/>
          <w:spacing w:val="-82"/>
          <w:w w:val="99"/>
        </w:rPr>
        <w:t>）</w:t>
      </w:r>
      <w:r>
        <w:rPr>
          <w:rFonts w:ascii="楷体" w:eastAsia="楷体"/>
          <w:spacing w:val="-16"/>
          <w:w w:val="99"/>
        </w:rPr>
        <w:t>消除存量隐患。</w:t>
      </w:r>
      <w:r>
        <w:rPr>
          <w:spacing w:val="-5"/>
          <w:w w:val="99"/>
        </w:rPr>
        <w:t>持续推进经营性自建房安全专项整治。对已完成隐患整治的，要组织专业机构进行复核，确保安全隐患已经彻底消除。暂时没有完成整治的，要有明确的整治措施和完</w:t>
      </w:r>
    </w:p>
    <w:p w14:paraId="48E2FC25">
      <w:pPr>
        <w:spacing w:after="0" w:line="328" w:lineRule="auto"/>
        <w:sectPr>
          <w:footerReference r:id="rId5" w:type="default"/>
          <w:footerReference r:id="rId6" w:type="even"/>
          <w:pgSz w:w="11910" w:h="16840"/>
          <w:pgMar w:top="1920" w:right="1040" w:bottom="2040" w:left="1480" w:header="0" w:footer="1859" w:gutter="0"/>
          <w:pgNumType w:start="2"/>
          <w:cols w:space="720" w:num="1"/>
        </w:sectPr>
      </w:pPr>
    </w:p>
    <w:p w14:paraId="66CB2783">
      <w:pPr>
        <w:pStyle w:val="2"/>
        <w:spacing w:before="4"/>
        <w:rPr>
          <w:sz w:val="18"/>
        </w:rPr>
      </w:pPr>
    </w:p>
    <w:p w14:paraId="74B2C6FB">
      <w:pPr>
        <w:pStyle w:val="2"/>
        <w:spacing w:before="54" w:line="328" w:lineRule="auto"/>
        <w:ind w:left="106" w:right="429"/>
        <w:jc w:val="both"/>
      </w:pPr>
      <w:r>
        <w:rPr>
          <w:spacing w:val="-5"/>
          <w:w w:val="99"/>
        </w:rPr>
        <w:t>成时限，尽快实施工程措施，彻底消除安全隐患。完成整治前，要确保管控措施持续有效，要有显著的警戒标识，要有硬围挡进行有效隔离，并安排人员巡查检查，避免无关人员擅自出入，坚决不允许带险恢复经营。对于在经营性自建房楼顶堆积物品的，要组织开展集中清理，避免增加屋面荷载，造成房屋垮塌；对于</w:t>
      </w:r>
      <w:r>
        <w:rPr>
          <w:spacing w:val="5"/>
          <w:w w:val="99"/>
        </w:rPr>
        <w:t>在屋顶或临街搭建彩钢棚、简易板房的，要组织开展集中整治</w:t>
      </w:r>
      <w:r>
        <w:rPr>
          <w:rFonts w:ascii="Times New Roman" w:eastAsia="Times New Roman"/>
          <w:spacing w:val="-13"/>
          <w:w w:val="99"/>
        </w:rPr>
        <w:t>,</w:t>
      </w:r>
      <w:r>
        <w:rPr>
          <w:spacing w:val="-5"/>
          <w:w w:val="99"/>
        </w:rPr>
        <w:t>避免大风吹落伤人，避免承重不足倒塌伤人。要积极探索符合地方实际的整治措施，结合棚户区改造、城中村改造、农村危房改造、地质灾害工程治理、避让搬迁等，因地制宜采取分类处置措施，及时消除各类安全隐患。</w:t>
      </w:r>
    </w:p>
    <w:p w14:paraId="1799F3D6">
      <w:pPr>
        <w:pStyle w:val="2"/>
        <w:spacing w:line="392" w:lineRule="exact"/>
        <w:ind w:left="740"/>
      </w:pPr>
      <w:r>
        <w:rPr>
          <w:rFonts w:ascii="楷体" w:eastAsia="楷体"/>
          <w:w w:val="95"/>
        </w:rPr>
        <w:t>（二）严控增量风险。</w:t>
      </w:r>
      <w:r>
        <w:rPr>
          <w:w w:val="95"/>
        </w:rPr>
        <w:t>城乡新建经营性自建房应当依法</w:t>
      </w:r>
      <w:r>
        <w:rPr>
          <w:spacing w:val="-5"/>
          <w:w w:val="95"/>
        </w:rPr>
        <w:t>办理</w:t>
      </w:r>
    </w:p>
    <w:p w14:paraId="38372372">
      <w:pPr>
        <w:pStyle w:val="2"/>
        <w:spacing w:before="150" w:line="328" w:lineRule="auto"/>
        <w:ind w:left="106" w:right="429"/>
        <w:jc w:val="both"/>
      </w:pPr>
      <w:r>
        <w:rPr>
          <w:spacing w:val="-5"/>
          <w:w w:val="99"/>
        </w:rPr>
        <w:t>用地、规划、建设等环节审批手续，依法委托具有相应资质的施工单位，按照专业设计图纸或标准设计图组织施工，经竣工验收合格后方可交付使用。新建经营性自建房一般不得超过三层。自建房转为经营用途的，产权人或使用人在办理相关经营许可、开展经营活动前，应当依法依规取得房屋安全鉴定合格证明。经营性自建房改建、扩建，应当依法办理规划、建设等审批手续，严格按照有关法律法规和工程建设标准进行设计和施工，经竣工验收合格后方可使用，严禁违规加层加盖等行为。经营性自建房装饰装修不得擅自变动建筑主体和承重结构。街道、乡镇政府要督促产权人和使用人依法依规开展经营性自建房装饰装修活动，确保房屋安全。对于乡镇</w:t>
      </w:r>
      <w:r>
        <w:rPr>
          <w:rFonts w:ascii="楷体" w:eastAsia="楷体"/>
          <w:spacing w:val="-3"/>
          <w:w w:val="99"/>
        </w:rPr>
        <w:t>（</w:t>
      </w:r>
      <w:r>
        <w:rPr>
          <w:rFonts w:ascii="楷体" w:eastAsia="楷体"/>
          <w:spacing w:val="-4"/>
          <w:w w:val="99"/>
        </w:rPr>
        <w:t>街道</w:t>
      </w:r>
      <w:r>
        <w:rPr>
          <w:rFonts w:ascii="楷体" w:eastAsia="楷体"/>
          <w:spacing w:val="-3"/>
          <w:w w:val="99"/>
        </w:rPr>
        <w:t>）</w:t>
      </w:r>
      <w:r>
        <w:rPr>
          <w:spacing w:val="-5"/>
          <w:w w:val="99"/>
        </w:rPr>
        <w:t>、行业领域出现洪涝等灾害受损</w:t>
      </w:r>
    </w:p>
    <w:p w14:paraId="46D2D4B6">
      <w:pPr>
        <w:spacing w:after="0" w:line="328" w:lineRule="auto"/>
        <w:jc w:val="both"/>
        <w:sectPr>
          <w:pgSz w:w="11910" w:h="16840"/>
          <w:pgMar w:top="1920" w:right="1040" w:bottom="2040" w:left="1480" w:header="0" w:footer="1859" w:gutter="0"/>
          <w:cols w:space="720" w:num="1"/>
        </w:sectPr>
      </w:pPr>
    </w:p>
    <w:p w14:paraId="7D3662A4">
      <w:pPr>
        <w:pStyle w:val="2"/>
        <w:spacing w:before="4"/>
        <w:rPr>
          <w:sz w:val="18"/>
        </w:rPr>
      </w:pPr>
    </w:p>
    <w:p w14:paraId="6BD7F27F">
      <w:pPr>
        <w:pStyle w:val="2"/>
        <w:spacing w:before="54" w:line="328" w:lineRule="auto"/>
        <w:ind w:left="106" w:right="429"/>
        <w:jc w:val="both"/>
      </w:pPr>
      <w:r>
        <w:rPr>
          <w:spacing w:val="-5"/>
          <w:w w:val="99"/>
        </w:rPr>
        <w:t>的经营性自建房，要向群众普及住房安全的基本知识，提高群众的防灾意识。对因灾受损较重的经营性自建房，灾害过后，恢复用作经营性前，应组织有关技术人员对受损房屋进行鉴定检查，未经鉴定确认安全前一律不得恢复经营。</w:t>
      </w:r>
    </w:p>
    <w:p w14:paraId="67780801">
      <w:pPr>
        <w:pStyle w:val="2"/>
        <w:spacing w:line="328" w:lineRule="auto"/>
        <w:ind w:left="106" w:right="270" w:firstLine="633"/>
      </w:pPr>
      <w:r>
        <w:rPr>
          <w:rFonts w:ascii="楷体" w:hAnsi="楷体" w:eastAsia="楷体"/>
          <w:spacing w:val="-5"/>
          <w:w w:val="99"/>
        </w:rPr>
        <w:t>（三</w:t>
      </w:r>
      <w:r>
        <w:rPr>
          <w:rFonts w:ascii="楷体" w:hAnsi="楷体" w:eastAsia="楷体"/>
          <w:spacing w:val="-3"/>
          <w:w w:val="99"/>
        </w:rPr>
        <w:t>）</w:t>
      </w:r>
      <w:r>
        <w:rPr>
          <w:rFonts w:ascii="楷体" w:hAnsi="楷体" w:eastAsia="楷体"/>
          <w:spacing w:val="-5"/>
          <w:w w:val="99"/>
        </w:rPr>
        <w:t>健全长效机制。</w:t>
      </w:r>
      <w:r>
        <w:rPr>
          <w:spacing w:val="-5"/>
          <w:w w:val="99"/>
        </w:rPr>
        <w:t>落实好《关于加强全省经营性自建房管理实施细则》。针对城乡结合部、城中村、安置区、学校和医院周边、产业园区、旅游景区、自然灾害易发区等重点区域，聚焦</w:t>
      </w:r>
      <w:r>
        <w:rPr>
          <w:spacing w:val="-86"/>
        </w:rPr>
        <w:t xml:space="preserve"> </w:t>
      </w:r>
      <w:r>
        <w:rPr>
          <w:rFonts w:ascii="Times New Roman" w:hAnsi="Times New Roman" w:eastAsia="Times New Roman"/>
          <w:w w:val="99"/>
        </w:rPr>
        <w:t>3</w:t>
      </w:r>
      <w:r>
        <w:rPr>
          <w:rFonts w:ascii="Times New Roman" w:hAnsi="Times New Roman" w:eastAsia="Times New Roman"/>
        </w:rPr>
        <w:t xml:space="preserve"> </w:t>
      </w:r>
      <w:r>
        <w:rPr>
          <w:spacing w:val="-5"/>
          <w:w w:val="99"/>
        </w:rPr>
        <w:t>层及以上、人员密集、违规改扩建等容易造成重大安全事故营性自建房，开展常态化巡查。积极推进经营性自建房营业前强制体检，具备条件的地方可通过政府购买服务方式委托第三方专业技术服务机构等单位参与经营性自建房安全排查和鉴定工作。进一步健全经营性自建房安全风险管理长效机制，推动将房屋结</w:t>
      </w:r>
      <w:r>
        <w:rPr>
          <w:spacing w:val="-17"/>
          <w:w w:val="99"/>
        </w:rPr>
        <w:t>构安全动态发现“楼长制”纳入城市网格化管理、社区工作管理。</w:t>
      </w:r>
      <w:r>
        <w:rPr>
          <w:spacing w:val="-3"/>
          <w:w w:val="99"/>
        </w:rPr>
        <w:t>力争用</w:t>
      </w:r>
      <w:r>
        <w:rPr>
          <w:spacing w:val="-83"/>
        </w:rPr>
        <w:t xml:space="preserve"> </w:t>
      </w:r>
      <w:r>
        <w:rPr>
          <w:rFonts w:ascii="Times New Roman" w:hAnsi="Times New Roman" w:eastAsia="Times New Roman"/>
          <w:w w:val="99"/>
        </w:rPr>
        <w:t>2</w:t>
      </w:r>
      <w:r>
        <w:rPr>
          <w:rFonts w:ascii="Times New Roman" w:hAnsi="Times New Roman" w:eastAsia="Times New Roman"/>
          <w:spacing w:val="-2"/>
        </w:rPr>
        <w:t xml:space="preserve"> </w:t>
      </w:r>
      <w:r>
        <w:rPr>
          <w:spacing w:val="-5"/>
          <w:w w:val="99"/>
        </w:rPr>
        <w:t>年左右时间，全区建成区内所有房屋均应建立起房屋结</w:t>
      </w:r>
    </w:p>
    <w:p w14:paraId="3B357AC6">
      <w:pPr>
        <w:pStyle w:val="2"/>
        <w:spacing w:line="392" w:lineRule="exact"/>
        <w:ind w:left="106"/>
      </w:pPr>
      <w:r>
        <w:rPr>
          <w:w w:val="95"/>
        </w:rPr>
        <w:t>构安全动态发现“楼长制”。在此基础上再用</w:t>
      </w:r>
      <w:r>
        <w:rPr>
          <w:spacing w:val="41"/>
        </w:rPr>
        <w:t xml:space="preserve"> </w:t>
      </w:r>
      <w:r>
        <w:rPr>
          <w:rFonts w:ascii="Times New Roman" w:hAnsi="Times New Roman" w:eastAsia="Times New Roman"/>
          <w:w w:val="95"/>
        </w:rPr>
        <w:t>5</w:t>
      </w:r>
      <w:r>
        <w:rPr>
          <w:rFonts w:ascii="Times New Roman" w:hAnsi="Times New Roman" w:eastAsia="Times New Roman"/>
          <w:spacing w:val="77"/>
          <w:w w:val="150"/>
        </w:rPr>
        <w:t xml:space="preserve"> </w:t>
      </w:r>
      <w:r>
        <w:rPr>
          <w:w w:val="95"/>
        </w:rPr>
        <w:t>年时间</w:t>
      </w:r>
      <w:r>
        <w:rPr>
          <w:spacing w:val="-3"/>
          <w:w w:val="95"/>
        </w:rPr>
        <w:t>，建立起</w:t>
      </w:r>
    </w:p>
    <w:p w14:paraId="3ED03043">
      <w:pPr>
        <w:pStyle w:val="2"/>
        <w:spacing w:before="144" w:line="326" w:lineRule="auto"/>
        <w:ind w:left="106" w:right="429"/>
      </w:pPr>
      <w:r>
        <w:rPr>
          <w:spacing w:val="-5"/>
          <w:w w:val="99"/>
        </w:rPr>
        <w:t>党组织统一领导、政府依法履职、各类组织积极协同、群众广泛参与，自制、法治、德治相结合的房屋安全管理体系。</w:t>
      </w:r>
    </w:p>
    <w:p w14:paraId="44388142">
      <w:pPr>
        <w:pStyle w:val="2"/>
        <w:spacing w:before="4" w:line="328" w:lineRule="auto"/>
        <w:ind w:left="106" w:right="426" w:firstLine="633"/>
        <w:jc w:val="both"/>
      </w:pPr>
      <w:r>
        <w:rPr>
          <w:spacing w:val="4"/>
          <w:w w:val="99"/>
        </w:rPr>
        <w:t>成立区级房屋结构安全动态发现“楼长制”工作领导小组</w:t>
      </w:r>
      <w:r>
        <w:rPr>
          <w:rFonts w:ascii="Times New Roman" w:hAnsi="Times New Roman" w:eastAsia="Times New Roman"/>
          <w:w w:val="99"/>
        </w:rPr>
        <w:t>,</w:t>
      </w:r>
      <w:r>
        <w:rPr>
          <w:spacing w:val="-5"/>
          <w:w w:val="99"/>
        </w:rPr>
        <w:t>指定房屋结构安全分管领导担任“总楼长”，统筹协调辖区内房屋结构安全动态发现“楼长制”工作。乡镇</w:t>
      </w:r>
      <w:r>
        <w:rPr>
          <w:rFonts w:ascii="楷体" w:hAnsi="楷体" w:eastAsia="楷体"/>
          <w:spacing w:val="-3"/>
          <w:w w:val="99"/>
        </w:rPr>
        <w:t>（</w:t>
      </w:r>
      <w:r>
        <w:rPr>
          <w:rFonts w:ascii="楷体" w:hAnsi="楷体" w:eastAsia="楷体"/>
          <w:spacing w:val="-4"/>
          <w:w w:val="99"/>
        </w:rPr>
        <w:t>街道</w:t>
      </w:r>
      <w:r>
        <w:rPr>
          <w:rFonts w:ascii="楷体" w:hAnsi="楷体" w:eastAsia="楷体"/>
          <w:spacing w:val="-3"/>
          <w:w w:val="99"/>
        </w:rPr>
        <w:t>）</w:t>
      </w:r>
      <w:r>
        <w:rPr>
          <w:spacing w:val="-4"/>
          <w:w w:val="99"/>
        </w:rPr>
        <w:t>行政正职担</w:t>
      </w:r>
      <w:r>
        <w:rPr>
          <w:spacing w:val="-5"/>
          <w:w w:val="99"/>
        </w:rPr>
        <w:t>任一级“楼长”，每季度对辖区内各级楼长责任落实和房屋结构安全日常管理情况进行督导检查，定期分析辖区内房屋结构安全</w:t>
      </w:r>
    </w:p>
    <w:p w14:paraId="774763F9">
      <w:pPr>
        <w:spacing w:after="0" w:line="328" w:lineRule="auto"/>
        <w:jc w:val="both"/>
        <w:sectPr>
          <w:pgSz w:w="11910" w:h="16840"/>
          <w:pgMar w:top="1920" w:right="1040" w:bottom="2040" w:left="1480" w:header="0" w:footer="1859" w:gutter="0"/>
          <w:cols w:space="720" w:num="1"/>
        </w:sectPr>
      </w:pPr>
    </w:p>
    <w:p w14:paraId="13A3CC7D">
      <w:pPr>
        <w:pStyle w:val="2"/>
        <w:spacing w:before="4"/>
        <w:rPr>
          <w:sz w:val="18"/>
        </w:rPr>
      </w:pPr>
    </w:p>
    <w:p w14:paraId="624DE214">
      <w:pPr>
        <w:pStyle w:val="2"/>
        <w:spacing w:before="54"/>
        <w:ind w:left="106"/>
      </w:pPr>
      <w:r>
        <w:rPr>
          <w:w w:val="95"/>
        </w:rPr>
        <w:t>形势，组织消除房屋结构安全隐患，确保公共安全</w:t>
      </w:r>
      <w:r>
        <w:rPr>
          <w:spacing w:val="-10"/>
          <w:w w:val="95"/>
        </w:rPr>
        <w:t>。</w:t>
      </w:r>
    </w:p>
    <w:p w14:paraId="088FABF9">
      <w:pPr>
        <w:pStyle w:val="2"/>
        <w:spacing w:before="150" w:line="328" w:lineRule="auto"/>
        <w:ind w:left="106" w:right="270" w:firstLine="633"/>
      </w:pPr>
      <w:r>
        <w:rPr>
          <w:spacing w:val="-2"/>
        </w:rPr>
        <w:t>乡镇</w:t>
      </w:r>
      <w:r>
        <w:rPr>
          <w:rFonts w:ascii="楷体" w:hAnsi="楷体" w:eastAsia="楷体"/>
          <w:spacing w:val="-2"/>
        </w:rPr>
        <w:t>（街道）</w:t>
      </w:r>
      <w:r>
        <w:rPr>
          <w:spacing w:val="-2"/>
        </w:rPr>
        <w:t>中层及以上干部担任二级“楼长”，具体推动落实辖区内房屋结构安全“楼长制”，协调督促落实房屋结构安全有关的问题发现、报告、处置、销号等闭环管理。行政村</w:t>
      </w:r>
      <w:r>
        <w:rPr>
          <w:rFonts w:ascii="楷体" w:hAnsi="楷体" w:eastAsia="楷体"/>
          <w:spacing w:val="-2"/>
        </w:rPr>
        <w:t>（社</w:t>
      </w:r>
      <w:r>
        <w:rPr>
          <w:rFonts w:ascii="楷体" w:hAnsi="楷体" w:eastAsia="楷体"/>
          <w:spacing w:val="-2"/>
          <w:w w:val="95"/>
        </w:rPr>
        <w:t>区）</w:t>
      </w:r>
      <w:r>
        <w:rPr>
          <w:spacing w:val="-2"/>
          <w:w w:val="95"/>
        </w:rPr>
        <w:t>主要负责人担任三级“楼长”，负责组织房屋结构安全巡查，</w:t>
      </w:r>
      <w:r>
        <w:rPr>
          <w:spacing w:val="-2"/>
        </w:rPr>
        <w:t>督促房屋安全责任人落实房屋安全主体责任，及时解决或上报突出问题。各行政村</w:t>
      </w:r>
      <w:r>
        <w:rPr>
          <w:rFonts w:ascii="楷体" w:hAnsi="楷体" w:eastAsia="楷体"/>
          <w:spacing w:val="-2"/>
        </w:rPr>
        <w:t>（社区）</w:t>
      </w:r>
      <w:r>
        <w:rPr>
          <w:spacing w:val="-2"/>
        </w:rPr>
        <w:t>至少设置一名专职房屋结构安全监督员，负责开展所属区域内房屋安全日常巡查，及时发现、制止报告属地房屋结构安全有关问题，并根据房屋动态变化情况，及时更新房屋安全管理系统信息，确保房屋安全信息真实完整。</w:t>
      </w:r>
    </w:p>
    <w:p w14:paraId="7658F222">
      <w:pPr>
        <w:pStyle w:val="2"/>
        <w:spacing w:line="395" w:lineRule="exact"/>
        <w:ind w:left="740"/>
      </w:pPr>
      <w:r>
        <w:rPr>
          <w:w w:val="95"/>
        </w:rPr>
        <w:t>乡镇</w:t>
      </w:r>
      <w:r>
        <w:rPr>
          <w:rFonts w:ascii="楷体" w:eastAsia="楷体"/>
          <w:w w:val="95"/>
        </w:rPr>
        <w:t>（街道）</w:t>
      </w:r>
      <w:r>
        <w:rPr>
          <w:w w:val="95"/>
        </w:rPr>
        <w:t>充分调动社会组织、志愿者等社会</w:t>
      </w:r>
      <w:r>
        <w:rPr>
          <w:spacing w:val="-2"/>
          <w:w w:val="95"/>
        </w:rPr>
        <w:t>力量，建立</w:t>
      </w:r>
    </w:p>
    <w:p w14:paraId="6706E9F4">
      <w:pPr>
        <w:pStyle w:val="2"/>
        <w:spacing w:before="149" w:line="328" w:lineRule="auto"/>
        <w:ind w:left="106" w:right="426"/>
        <w:jc w:val="both"/>
      </w:pPr>
      <w:r>
        <w:rPr>
          <w:spacing w:val="-5"/>
          <w:w w:val="99"/>
        </w:rPr>
        <w:t>“楼长制”协管员制度，群策群力共同抓好房屋结构安全动态发现机制建设。乡镇</w:t>
      </w:r>
      <w:r>
        <w:rPr>
          <w:rFonts w:ascii="楷体" w:hAnsi="楷体" w:eastAsia="楷体"/>
          <w:spacing w:val="-3"/>
          <w:w w:val="99"/>
        </w:rPr>
        <w:t>（</w:t>
      </w:r>
      <w:r>
        <w:rPr>
          <w:rFonts w:ascii="楷体" w:hAnsi="楷体" w:eastAsia="楷体"/>
          <w:spacing w:val="-4"/>
          <w:w w:val="99"/>
        </w:rPr>
        <w:t>街道</w:t>
      </w:r>
      <w:r>
        <w:rPr>
          <w:rFonts w:ascii="楷体" w:hAnsi="楷体" w:eastAsia="楷体"/>
          <w:spacing w:val="-3"/>
          <w:w w:val="99"/>
        </w:rPr>
        <w:t>）</w:t>
      </w:r>
      <w:r>
        <w:rPr>
          <w:spacing w:val="-5"/>
          <w:w w:val="99"/>
        </w:rPr>
        <w:t>应当将房屋结构安全动态发现“楼长制”巡查工作纳入网格化管理。村委会</w:t>
      </w:r>
      <w:r>
        <w:rPr>
          <w:rFonts w:ascii="楷体" w:hAnsi="楷体" w:eastAsia="楷体"/>
          <w:spacing w:val="-3"/>
          <w:w w:val="99"/>
        </w:rPr>
        <w:t>（</w:t>
      </w:r>
      <w:r>
        <w:rPr>
          <w:rFonts w:ascii="楷体" w:hAnsi="楷体" w:eastAsia="楷体"/>
          <w:spacing w:val="-4"/>
          <w:w w:val="99"/>
        </w:rPr>
        <w:t>居委会</w:t>
      </w:r>
      <w:r>
        <w:rPr>
          <w:rFonts w:ascii="楷体" w:hAnsi="楷体" w:eastAsia="楷体"/>
          <w:spacing w:val="-5"/>
          <w:w w:val="99"/>
        </w:rPr>
        <w:t>）</w:t>
      </w:r>
      <w:r>
        <w:rPr>
          <w:spacing w:val="-5"/>
          <w:w w:val="99"/>
        </w:rPr>
        <w:t>在其区域内发现违法建设的，应当予以劝阻、制止，并立即向查处机关或者乡镇人民政府</w:t>
      </w:r>
      <w:r>
        <w:rPr>
          <w:rFonts w:ascii="楷体" w:hAnsi="楷体" w:eastAsia="楷体"/>
          <w:spacing w:val="-3"/>
          <w:w w:val="99"/>
        </w:rPr>
        <w:t>（</w:t>
      </w:r>
      <w:r>
        <w:rPr>
          <w:rFonts w:ascii="楷体" w:hAnsi="楷体" w:eastAsia="楷体"/>
          <w:spacing w:val="-5"/>
          <w:w w:val="99"/>
        </w:rPr>
        <w:t>街道办事处</w:t>
      </w:r>
      <w:r>
        <w:rPr>
          <w:rFonts w:ascii="楷体" w:hAnsi="楷体" w:eastAsia="楷体"/>
          <w:spacing w:val="-3"/>
          <w:w w:val="99"/>
        </w:rPr>
        <w:t>）</w:t>
      </w:r>
      <w:r>
        <w:rPr>
          <w:spacing w:val="-5"/>
          <w:w w:val="99"/>
        </w:rPr>
        <w:t>报告。要对城乡结合部、城中村、学</w:t>
      </w:r>
      <w:r>
        <w:rPr>
          <w:spacing w:val="-4"/>
          <w:w w:val="99"/>
        </w:rPr>
        <w:t>校和医院周边等重点区域，</w:t>
      </w:r>
      <w:r>
        <w:rPr>
          <w:rFonts w:ascii="Times New Roman" w:hAnsi="Times New Roman" w:eastAsia="Times New Roman"/>
          <w:w w:val="99"/>
        </w:rPr>
        <w:t>3</w:t>
      </w:r>
      <w:r>
        <w:rPr>
          <w:rFonts w:ascii="Times New Roman" w:hAnsi="Times New Roman" w:eastAsia="Times New Roman"/>
        </w:rPr>
        <w:t xml:space="preserve"> </w:t>
      </w:r>
      <w:r>
        <w:rPr>
          <w:spacing w:val="-2"/>
          <w:w w:val="99"/>
        </w:rPr>
        <w:t>层及以上、人员密集、违规改扩建</w:t>
      </w:r>
      <w:r>
        <w:rPr>
          <w:spacing w:val="-5"/>
          <w:w w:val="99"/>
        </w:rPr>
        <w:t>等容易造成重大安全事故的经营性自建房，组织行业主管部门、村</w:t>
      </w:r>
      <w:r>
        <w:rPr>
          <w:rFonts w:ascii="Times New Roman" w:hAnsi="Times New Roman" w:eastAsia="Times New Roman"/>
          <w:spacing w:val="4"/>
          <w:w w:val="99"/>
        </w:rPr>
        <w:t>(</w:t>
      </w:r>
      <w:r>
        <w:rPr>
          <w:rFonts w:ascii="楷体" w:hAnsi="楷体" w:eastAsia="楷体"/>
          <w:w w:val="99"/>
        </w:rPr>
        <w:t>社区</w:t>
      </w:r>
      <w:r>
        <w:rPr>
          <w:rFonts w:ascii="Times New Roman" w:hAnsi="Times New Roman" w:eastAsia="Times New Roman"/>
          <w:spacing w:val="1"/>
          <w:w w:val="99"/>
        </w:rPr>
        <w:t>)</w:t>
      </w:r>
      <w:r>
        <w:rPr>
          <w:w w:val="99"/>
        </w:rPr>
        <w:t>“两委”，委托物业等单位开展安全巡查，发现问题督</w:t>
      </w:r>
      <w:r>
        <w:rPr>
          <w:spacing w:val="-5"/>
          <w:w w:val="99"/>
        </w:rPr>
        <w:t>促产权人和使用人及时整改。加强宣传，不断提高基层群众风险辨别意识和应急避险能力，引导群众自觉依法依规建房、装修和出租经营，坚决防范各类重特大事故发生，切实保障人民群众生</w:t>
      </w:r>
    </w:p>
    <w:p w14:paraId="34D0BD38">
      <w:pPr>
        <w:spacing w:after="0" w:line="328" w:lineRule="auto"/>
        <w:jc w:val="both"/>
        <w:sectPr>
          <w:pgSz w:w="11910" w:h="16840"/>
          <w:pgMar w:top="1920" w:right="1040" w:bottom="2040" w:left="1480" w:header="0" w:footer="1859" w:gutter="0"/>
          <w:cols w:space="720" w:num="1"/>
        </w:sectPr>
      </w:pPr>
    </w:p>
    <w:p w14:paraId="34B3A692">
      <w:pPr>
        <w:pStyle w:val="2"/>
        <w:spacing w:before="4"/>
        <w:rPr>
          <w:sz w:val="18"/>
        </w:rPr>
      </w:pPr>
    </w:p>
    <w:p w14:paraId="51A1125D">
      <w:pPr>
        <w:pStyle w:val="2"/>
        <w:spacing w:before="54"/>
        <w:ind w:left="106"/>
      </w:pPr>
      <w:r>
        <w:rPr>
          <w:w w:val="95"/>
        </w:rPr>
        <w:t>命财产安全和社会大</w:t>
      </w:r>
      <w:r>
        <w:rPr>
          <w:spacing w:val="-3"/>
          <w:w w:val="95"/>
        </w:rPr>
        <w:t>局稳定。</w:t>
      </w:r>
    </w:p>
    <w:p w14:paraId="4A6480DF">
      <w:pPr>
        <w:pStyle w:val="2"/>
        <w:spacing w:before="150"/>
        <w:ind w:left="737"/>
        <w:rPr>
          <w:rFonts w:ascii="黑体" w:eastAsia="黑体"/>
        </w:rPr>
      </w:pPr>
      <w:r>
        <w:rPr>
          <w:rFonts w:ascii="黑体" w:eastAsia="黑体"/>
          <w:spacing w:val="-2"/>
          <w:w w:val="95"/>
        </w:rPr>
        <w:t>三、工作步骤</w:t>
      </w:r>
    </w:p>
    <w:p w14:paraId="7F9EE4DC">
      <w:pPr>
        <w:pStyle w:val="2"/>
        <w:spacing w:before="149"/>
        <w:ind w:left="740"/>
      </w:pPr>
      <w:r>
        <w:rPr>
          <w:rFonts w:ascii="楷体" w:eastAsia="楷体"/>
        </w:rPr>
        <w:t>（一）排查阶段（</w:t>
      </w:r>
      <w:r>
        <w:rPr>
          <w:rFonts w:ascii="Times New Roman" w:eastAsia="Times New Roman"/>
        </w:rPr>
        <w:t>2024</w:t>
      </w:r>
      <w:r>
        <w:rPr>
          <w:rFonts w:ascii="Times New Roman" w:eastAsia="Times New Roman"/>
          <w:spacing w:val="-22"/>
        </w:rPr>
        <w:t xml:space="preserve"> </w:t>
      </w:r>
      <w:r>
        <w:rPr>
          <w:rFonts w:ascii="楷体" w:eastAsia="楷体"/>
          <w:spacing w:val="-41"/>
        </w:rPr>
        <w:t xml:space="preserve">年 </w:t>
      </w:r>
      <w:r>
        <w:rPr>
          <w:rFonts w:ascii="Times New Roman" w:eastAsia="Times New Roman"/>
        </w:rPr>
        <w:t>8</w:t>
      </w:r>
      <w:r>
        <w:rPr>
          <w:rFonts w:ascii="Times New Roman" w:eastAsia="Times New Roman"/>
          <w:spacing w:val="-20"/>
        </w:rPr>
        <w:t xml:space="preserve"> </w:t>
      </w:r>
      <w:r>
        <w:rPr>
          <w:rFonts w:ascii="楷体" w:eastAsia="楷体"/>
          <w:spacing w:val="-41"/>
        </w:rPr>
        <w:t xml:space="preserve">月 </w:t>
      </w:r>
      <w:r>
        <w:rPr>
          <w:rFonts w:ascii="Times New Roman" w:eastAsia="Times New Roman"/>
        </w:rPr>
        <w:t>6</w:t>
      </w:r>
      <w:r>
        <w:rPr>
          <w:rFonts w:ascii="Times New Roman" w:eastAsia="Times New Roman"/>
          <w:spacing w:val="-20"/>
        </w:rPr>
        <w:t xml:space="preserve"> </w:t>
      </w:r>
      <w:r>
        <w:rPr>
          <w:rFonts w:ascii="楷体" w:eastAsia="楷体"/>
        </w:rPr>
        <w:t>日至</w:t>
      </w:r>
      <w:r>
        <w:rPr>
          <w:rFonts w:ascii="楷体" w:eastAsia="楷体"/>
          <w:spacing w:val="-81"/>
        </w:rPr>
        <w:t xml:space="preserve"> </w:t>
      </w:r>
      <w:r>
        <w:rPr>
          <w:rFonts w:ascii="Times New Roman" w:eastAsia="Times New Roman"/>
        </w:rPr>
        <w:t>8</w:t>
      </w:r>
      <w:r>
        <w:rPr>
          <w:rFonts w:ascii="Times New Roman" w:eastAsia="Times New Roman"/>
          <w:spacing w:val="-12"/>
        </w:rPr>
        <w:t xml:space="preserve"> </w:t>
      </w:r>
      <w:r>
        <w:rPr>
          <w:rFonts w:ascii="楷体" w:eastAsia="楷体"/>
          <w:spacing w:val="-41"/>
        </w:rPr>
        <w:t xml:space="preserve">月 </w:t>
      </w:r>
      <w:r>
        <w:rPr>
          <w:rFonts w:ascii="Times New Roman" w:eastAsia="Times New Roman"/>
        </w:rPr>
        <w:t>20</w:t>
      </w:r>
      <w:r>
        <w:rPr>
          <w:rFonts w:ascii="Times New Roman" w:eastAsia="Times New Roman"/>
          <w:spacing w:val="-9"/>
        </w:rPr>
        <w:t xml:space="preserve"> </w:t>
      </w:r>
      <w:r>
        <w:rPr>
          <w:rFonts w:ascii="楷体" w:eastAsia="楷体"/>
        </w:rPr>
        <w:t>日）。</w:t>
      </w:r>
      <w:r>
        <w:t>各乡</w:t>
      </w:r>
      <w:r>
        <w:rPr>
          <w:spacing w:val="-10"/>
        </w:rPr>
        <w:t>镇</w:t>
      </w:r>
    </w:p>
    <w:p w14:paraId="62589B1F">
      <w:pPr>
        <w:pStyle w:val="2"/>
        <w:spacing w:before="151" w:line="328" w:lineRule="auto"/>
        <w:ind w:left="106" w:right="429"/>
        <w:jc w:val="both"/>
      </w:pPr>
      <w:r>
        <w:rPr>
          <w:rFonts w:ascii="楷体" w:eastAsia="楷体"/>
          <w:spacing w:val="-5"/>
          <w:w w:val="99"/>
        </w:rPr>
        <w:t>（</w:t>
      </w:r>
      <w:r>
        <w:rPr>
          <w:rFonts w:ascii="楷体" w:eastAsia="楷体"/>
          <w:spacing w:val="-3"/>
          <w:w w:val="99"/>
        </w:rPr>
        <w:t>街道</w:t>
      </w:r>
      <w:r>
        <w:rPr>
          <w:rFonts w:ascii="楷体" w:eastAsia="楷体"/>
          <w:spacing w:val="-5"/>
          <w:w w:val="99"/>
        </w:rPr>
        <w:t>）</w:t>
      </w:r>
      <w:r>
        <w:rPr>
          <w:spacing w:val="-5"/>
          <w:w w:val="99"/>
        </w:rPr>
        <w:t>、先进制造业开发区、区安委会成员单位根据本方案要求，结合本单位职责，制定具体实施方案，建立推进机制，全面动员部署。完成隐患排查任务，形成隐患台账清单，明确整治责任，边查边改，发现重大安全隐患的，要立即采取清人、停用、封房等管控措施，严防风险失控。同步开展经营性自建房安全鉴</w:t>
      </w:r>
      <w:r>
        <w:rPr>
          <w:spacing w:val="-3"/>
          <w:w w:val="99"/>
        </w:rPr>
        <w:t>定工作。</w:t>
      </w:r>
    </w:p>
    <w:p w14:paraId="1433E1F9">
      <w:pPr>
        <w:pStyle w:val="2"/>
        <w:spacing w:line="326" w:lineRule="auto"/>
        <w:ind w:left="106" w:right="430" w:firstLine="633"/>
        <w:jc w:val="both"/>
      </w:pPr>
      <w:r>
        <w:rPr>
          <w:rFonts w:ascii="楷体" w:eastAsia="楷体"/>
          <w:spacing w:val="-5"/>
          <w:w w:val="99"/>
        </w:rPr>
        <w:t>（二</w:t>
      </w:r>
      <w:r>
        <w:rPr>
          <w:rFonts w:ascii="楷体" w:eastAsia="楷体"/>
          <w:spacing w:val="-22"/>
          <w:w w:val="99"/>
        </w:rPr>
        <w:t>）</w:t>
      </w:r>
      <w:r>
        <w:rPr>
          <w:rFonts w:ascii="楷体" w:eastAsia="楷体"/>
          <w:spacing w:val="-9"/>
          <w:w w:val="99"/>
        </w:rPr>
        <w:t>整治阶段</w:t>
      </w:r>
      <w:r>
        <w:rPr>
          <w:rFonts w:ascii="楷体" w:eastAsia="楷体"/>
          <w:spacing w:val="-5"/>
          <w:w w:val="99"/>
        </w:rPr>
        <w:t>（</w:t>
      </w:r>
      <w:r>
        <w:rPr>
          <w:rFonts w:ascii="Times New Roman" w:eastAsia="Times New Roman"/>
          <w:spacing w:val="-2"/>
          <w:w w:val="99"/>
        </w:rPr>
        <w:t>202</w:t>
      </w:r>
      <w:r>
        <w:rPr>
          <w:rFonts w:ascii="Times New Roman" w:eastAsia="Times New Roman"/>
          <w:w w:val="99"/>
        </w:rPr>
        <w:t>4</w:t>
      </w:r>
      <w:r>
        <w:rPr>
          <w:rFonts w:ascii="Times New Roman" w:eastAsia="Times New Roman"/>
          <w:spacing w:val="-2"/>
        </w:rPr>
        <w:t xml:space="preserve"> </w:t>
      </w:r>
      <w:r>
        <w:rPr>
          <w:rFonts w:ascii="楷体" w:eastAsia="楷体"/>
          <w:w w:val="99"/>
        </w:rPr>
        <w:t>年</w:t>
      </w:r>
      <w:r>
        <w:rPr>
          <w:rFonts w:ascii="楷体" w:eastAsia="楷体"/>
          <w:spacing w:val="-86"/>
        </w:rPr>
        <w:t xml:space="preserve"> </w:t>
      </w:r>
      <w:r>
        <w:rPr>
          <w:rFonts w:ascii="Times New Roman" w:eastAsia="Times New Roman"/>
          <w:w w:val="99"/>
        </w:rPr>
        <w:t>8</w:t>
      </w:r>
      <w:r>
        <w:rPr>
          <w:rFonts w:ascii="Times New Roman" w:eastAsia="Times New Roman"/>
          <w:spacing w:val="-2"/>
        </w:rPr>
        <w:t xml:space="preserve"> </w:t>
      </w:r>
      <w:r>
        <w:rPr>
          <w:rFonts w:ascii="楷体" w:eastAsia="楷体"/>
          <w:w w:val="99"/>
        </w:rPr>
        <w:t>月</w:t>
      </w:r>
      <w:r>
        <w:rPr>
          <w:rFonts w:ascii="楷体" w:eastAsia="楷体"/>
          <w:spacing w:val="-83"/>
        </w:rPr>
        <w:t xml:space="preserve"> </w:t>
      </w:r>
      <w:r>
        <w:rPr>
          <w:rFonts w:ascii="Times New Roman" w:eastAsia="Times New Roman"/>
          <w:spacing w:val="-2"/>
          <w:w w:val="99"/>
        </w:rPr>
        <w:t>2</w:t>
      </w:r>
      <w:r>
        <w:rPr>
          <w:rFonts w:ascii="Times New Roman" w:eastAsia="Times New Roman"/>
          <w:w w:val="99"/>
        </w:rPr>
        <w:t>1</w:t>
      </w:r>
      <w:r>
        <w:rPr>
          <w:rFonts w:ascii="Times New Roman" w:eastAsia="Times New Roman"/>
          <w:spacing w:val="-2"/>
        </w:rPr>
        <w:t xml:space="preserve"> </w:t>
      </w:r>
      <w:r>
        <w:rPr>
          <w:rFonts w:ascii="楷体" w:eastAsia="楷体"/>
          <w:spacing w:val="-2"/>
          <w:w w:val="99"/>
        </w:rPr>
        <w:t>日至</w:t>
      </w:r>
      <w:r>
        <w:rPr>
          <w:rFonts w:ascii="楷体" w:eastAsia="楷体"/>
          <w:spacing w:val="-88"/>
        </w:rPr>
        <w:t xml:space="preserve"> </w:t>
      </w:r>
      <w:r>
        <w:rPr>
          <w:rFonts w:ascii="Times New Roman" w:eastAsia="Times New Roman"/>
          <w:w w:val="99"/>
        </w:rPr>
        <w:t>9</w:t>
      </w:r>
      <w:r>
        <w:rPr>
          <w:rFonts w:ascii="Times New Roman" w:eastAsia="Times New Roman"/>
        </w:rPr>
        <w:t xml:space="preserve"> </w:t>
      </w:r>
      <w:r>
        <w:rPr>
          <w:rFonts w:ascii="楷体" w:eastAsia="楷体"/>
          <w:w w:val="99"/>
        </w:rPr>
        <w:t>月</w:t>
      </w:r>
      <w:r>
        <w:rPr>
          <w:rFonts w:ascii="楷体" w:eastAsia="楷体"/>
          <w:spacing w:val="-86"/>
        </w:rPr>
        <w:t xml:space="preserve"> </w:t>
      </w:r>
      <w:r>
        <w:rPr>
          <w:rFonts w:ascii="Times New Roman" w:eastAsia="Times New Roman"/>
          <w:spacing w:val="-2"/>
          <w:w w:val="99"/>
        </w:rPr>
        <w:t>3</w:t>
      </w:r>
      <w:r>
        <w:rPr>
          <w:rFonts w:ascii="Times New Roman" w:eastAsia="Times New Roman"/>
          <w:w w:val="99"/>
        </w:rPr>
        <w:t>0</w:t>
      </w:r>
      <w:r>
        <w:rPr>
          <w:rFonts w:ascii="Times New Roman" w:eastAsia="Times New Roman"/>
          <w:spacing w:val="-2"/>
        </w:rPr>
        <w:t xml:space="preserve"> </w:t>
      </w:r>
      <w:r>
        <w:rPr>
          <w:rFonts w:ascii="楷体" w:eastAsia="楷体"/>
          <w:spacing w:val="-5"/>
          <w:w w:val="99"/>
        </w:rPr>
        <w:t>日</w:t>
      </w:r>
      <w:r>
        <w:rPr>
          <w:rFonts w:ascii="楷体" w:eastAsia="楷体"/>
          <w:spacing w:val="-24"/>
          <w:w w:val="99"/>
        </w:rPr>
        <w:t>）</w:t>
      </w:r>
      <w:r>
        <w:rPr>
          <w:rFonts w:ascii="楷体" w:eastAsia="楷体"/>
          <w:spacing w:val="-22"/>
          <w:w w:val="99"/>
        </w:rPr>
        <w:t>。</w:t>
      </w:r>
      <w:r>
        <w:rPr>
          <w:spacing w:val="-3"/>
          <w:w w:val="99"/>
        </w:rPr>
        <w:t>对发现</w:t>
      </w:r>
      <w:r>
        <w:rPr>
          <w:spacing w:val="-5"/>
          <w:w w:val="99"/>
        </w:rPr>
        <w:t>的新增隐患，要立查立改；对短时间无法整改到位的，要依据整改方案实施加固或拆除；对存在违法违规问题的，要处罚到位。</w:t>
      </w:r>
    </w:p>
    <w:p w14:paraId="0F567376">
      <w:pPr>
        <w:pStyle w:val="2"/>
        <w:spacing w:line="328" w:lineRule="auto"/>
        <w:ind w:left="106" w:right="429" w:firstLine="633"/>
        <w:jc w:val="both"/>
      </w:pPr>
      <w:r>
        <w:rPr>
          <w:rFonts w:ascii="楷体" w:hAnsi="楷体" w:eastAsia="楷体"/>
          <w:spacing w:val="2"/>
          <w:w w:val="99"/>
        </w:rPr>
        <w:t>（</w:t>
      </w:r>
      <w:r>
        <w:rPr>
          <w:rFonts w:ascii="楷体" w:hAnsi="楷体" w:eastAsia="楷体"/>
          <w:spacing w:val="5"/>
          <w:w w:val="99"/>
        </w:rPr>
        <w:t>三</w:t>
      </w:r>
      <w:r>
        <w:rPr>
          <w:rFonts w:ascii="楷体" w:hAnsi="楷体" w:eastAsia="楷体"/>
          <w:spacing w:val="2"/>
          <w:w w:val="99"/>
        </w:rPr>
        <w:t>）巩固提升阶段（</w:t>
      </w:r>
      <w:r>
        <w:rPr>
          <w:rFonts w:ascii="Times New Roman" w:hAnsi="Times New Roman" w:eastAsia="Times New Roman"/>
          <w:spacing w:val="-2"/>
          <w:w w:val="99"/>
        </w:rPr>
        <w:t>202</w:t>
      </w:r>
      <w:r>
        <w:rPr>
          <w:rFonts w:ascii="Times New Roman" w:hAnsi="Times New Roman" w:eastAsia="Times New Roman"/>
          <w:w w:val="99"/>
        </w:rPr>
        <w:t>4</w:t>
      </w:r>
      <w:r>
        <w:rPr>
          <w:rFonts w:ascii="Times New Roman" w:hAnsi="Times New Roman" w:eastAsia="Times New Roman"/>
          <w:spacing w:val="5"/>
        </w:rPr>
        <w:t xml:space="preserve"> </w:t>
      </w:r>
      <w:r>
        <w:rPr>
          <w:rFonts w:ascii="楷体" w:hAnsi="楷体" w:eastAsia="楷体"/>
          <w:w w:val="99"/>
        </w:rPr>
        <w:t>年</w:t>
      </w:r>
      <w:r>
        <w:rPr>
          <w:rFonts w:ascii="楷体" w:hAnsi="楷体" w:eastAsia="楷体"/>
          <w:spacing w:val="-79"/>
        </w:rPr>
        <w:t xml:space="preserve"> </w:t>
      </w:r>
      <w:r>
        <w:rPr>
          <w:rFonts w:ascii="Times New Roman" w:hAnsi="Times New Roman" w:eastAsia="Times New Roman"/>
          <w:spacing w:val="-2"/>
          <w:w w:val="99"/>
        </w:rPr>
        <w:t>1</w:t>
      </w:r>
      <w:r>
        <w:rPr>
          <w:rFonts w:ascii="Times New Roman" w:hAnsi="Times New Roman" w:eastAsia="Times New Roman"/>
          <w:w w:val="99"/>
        </w:rPr>
        <w:t>0</w:t>
      </w:r>
      <w:r>
        <w:rPr>
          <w:rFonts w:ascii="Times New Roman" w:hAnsi="Times New Roman" w:eastAsia="Times New Roman"/>
          <w:spacing w:val="5"/>
        </w:rPr>
        <w:t xml:space="preserve"> </w:t>
      </w:r>
      <w:r>
        <w:rPr>
          <w:rFonts w:ascii="楷体" w:hAnsi="楷体" w:eastAsia="楷体"/>
          <w:w w:val="99"/>
        </w:rPr>
        <w:t>月</w:t>
      </w:r>
      <w:r>
        <w:rPr>
          <w:rFonts w:ascii="楷体" w:hAnsi="楷体" w:eastAsia="楷体"/>
          <w:spacing w:val="-76"/>
        </w:rPr>
        <w:t xml:space="preserve"> </w:t>
      </w:r>
      <w:r>
        <w:rPr>
          <w:rFonts w:ascii="Times New Roman" w:hAnsi="Times New Roman" w:eastAsia="Times New Roman"/>
          <w:w w:val="99"/>
        </w:rPr>
        <w:t>1</w:t>
      </w:r>
      <w:r>
        <w:rPr>
          <w:rFonts w:ascii="Times New Roman" w:hAnsi="Times New Roman" w:eastAsia="Times New Roman"/>
          <w:spacing w:val="5"/>
        </w:rPr>
        <w:t xml:space="preserve"> </w:t>
      </w:r>
      <w:r>
        <w:rPr>
          <w:rFonts w:ascii="楷体" w:hAnsi="楷体" w:eastAsia="楷体"/>
          <w:spacing w:val="2"/>
          <w:w w:val="99"/>
        </w:rPr>
        <w:t>日至</w:t>
      </w:r>
      <w:r>
        <w:rPr>
          <w:rFonts w:ascii="楷体" w:hAnsi="楷体" w:eastAsia="楷体"/>
          <w:spacing w:val="-79"/>
        </w:rPr>
        <w:t xml:space="preserve"> </w:t>
      </w:r>
      <w:r>
        <w:rPr>
          <w:rFonts w:ascii="Times New Roman" w:hAnsi="Times New Roman" w:eastAsia="Times New Roman"/>
          <w:spacing w:val="-2"/>
          <w:w w:val="99"/>
        </w:rPr>
        <w:t>202</w:t>
      </w:r>
      <w:r>
        <w:rPr>
          <w:rFonts w:ascii="Times New Roman" w:hAnsi="Times New Roman" w:eastAsia="Times New Roman"/>
          <w:w w:val="99"/>
        </w:rPr>
        <w:t>5</w:t>
      </w:r>
      <w:r>
        <w:rPr>
          <w:rFonts w:ascii="Times New Roman" w:hAnsi="Times New Roman" w:eastAsia="Times New Roman"/>
          <w:spacing w:val="2"/>
        </w:rPr>
        <w:t xml:space="preserve"> </w:t>
      </w:r>
      <w:r>
        <w:rPr>
          <w:rFonts w:ascii="楷体" w:hAnsi="楷体" w:eastAsia="楷体"/>
          <w:w w:val="99"/>
        </w:rPr>
        <w:t>年</w:t>
      </w:r>
      <w:r>
        <w:rPr>
          <w:rFonts w:ascii="楷体" w:hAnsi="楷体" w:eastAsia="楷体"/>
          <w:spacing w:val="-76"/>
        </w:rPr>
        <w:t xml:space="preserve"> </w:t>
      </w:r>
      <w:r>
        <w:rPr>
          <w:rFonts w:ascii="Times New Roman" w:hAnsi="Times New Roman" w:eastAsia="Times New Roman"/>
          <w:w w:val="99"/>
        </w:rPr>
        <w:t>1</w:t>
      </w:r>
      <w:r>
        <w:rPr>
          <w:rFonts w:ascii="Times New Roman" w:hAnsi="Times New Roman" w:eastAsia="Times New Roman"/>
          <w:spacing w:val="5"/>
        </w:rPr>
        <w:t xml:space="preserve"> </w:t>
      </w:r>
      <w:r>
        <w:rPr>
          <w:rFonts w:ascii="楷体" w:hAnsi="楷体" w:eastAsia="楷体"/>
          <w:w w:val="99"/>
        </w:rPr>
        <w:t>月</w:t>
      </w:r>
      <w:r>
        <w:rPr>
          <w:rFonts w:ascii="楷体" w:hAnsi="楷体" w:eastAsia="楷体"/>
          <w:spacing w:val="-76"/>
        </w:rPr>
        <w:t xml:space="preserve"> </w:t>
      </w:r>
      <w:r>
        <w:rPr>
          <w:rFonts w:ascii="Times New Roman" w:hAnsi="Times New Roman" w:eastAsia="Times New Roman"/>
          <w:spacing w:val="-2"/>
          <w:w w:val="99"/>
        </w:rPr>
        <w:t>3</w:t>
      </w:r>
      <w:r>
        <w:rPr>
          <w:rFonts w:ascii="Times New Roman" w:hAnsi="Times New Roman" w:eastAsia="Times New Roman"/>
          <w:w w:val="99"/>
        </w:rPr>
        <w:t>1</w:t>
      </w:r>
      <w:r>
        <w:rPr>
          <w:rFonts w:ascii="楷体" w:hAnsi="楷体" w:eastAsia="楷体"/>
          <w:spacing w:val="-3"/>
          <w:w w:val="99"/>
        </w:rPr>
        <w:t>日</w:t>
      </w:r>
      <w:r>
        <w:rPr>
          <w:rFonts w:ascii="楷体" w:hAnsi="楷体" w:eastAsia="楷体"/>
          <w:spacing w:val="-5"/>
          <w:w w:val="99"/>
        </w:rPr>
        <w:t>）</w:t>
      </w:r>
      <w:r>
        <w:rPr>
          <w:rFonts w:ascii="楷体" w:hAnsi="楷体" w:eastAsia="楷体"/>
          <w:spacing w:val="-3"/>
          <w:w w:val="99"/>
        </w:rPr>
        <w:t>。</w:t>
      </w:r>
      <w:r>
        <w:rPr>
          <w:spacing w:val="-5"/>
          <w:w w:val="99"/>
        </w:rPr>
        <w:t>对标“快、准、严、实”的要求，对于前期排查整治成果适时开展“回头看”，持续聚焦工作短板弱项，突出重点区域、重点场所、重点房屋，对隐患排查、整改情况进行再核查。</w:t>
      </w:r>
    </w:p>
    <w:p w14:paraId="68D3721B">
      <w:pPr>
        <w:pStyle w:val="2"/>
        <w:spacing w:line="328" w:lineRule="auto"/>
        <w:ind w:left="106" w:right="430" w:firstLine="633"/>
        <w:jc w:val="both"/>
      </w:pPr>
      <w:r>
        <w:rPr>
          <w:spacing w:val="-5"/>
          <w:w w:val="99"/>
        </w:rPr>
        <w:t>各乡镇</w:t>
      </w:r>
      <w:r>
        <w:rPr>
          <w:rFonts w:ascii="楷体" w:eastAsia="楷体"/>
          <w:spacing w:val="-3"/>
          <w:w w:val="99"/>
        </w:rPr>
        <w:t>（</w:t>
      </w:r>
      <w:r>
        <w:rPr>
          <w:rFonts w:ascii="楷体" w:eastAsia="楷体"/>
          <w:spacing w:val="-4"/>
          <w:w w:val="99"/>
        </w:rPr>
        <w:t>街道</w:t>
      </w:r>
      <w:r>
        <w:rPr>
          <w:rFonts w:ascii="楷体" w:eastAsia="楷体"/>
          <w:spacing w:val="-3"/>
          <w:w w:val="99"/>
        </w:rPr>
        <w:t>）</w:t>
      </w:r>
      <w:r>
        <w:rPr>
          <w:spacing w:val="-5"/>
          <w:w w:val="99"/>
        </w:rPr>
        <w:t>、先进制造业开发区、区安委会区有关成员</w:t>
      </w:r>
      <w:r>
        <w:rPr>
          <w:spacing w:val="-4"/>
          <w:w w:val="99"/>
        </w:rPr>
        <w:t>单位要明确</w:t>
      </w:r>
      <w:r>
        <w:rPr>
          <w:spacing w:val="-83"/>
        </w:rPr>
        <w:t xml:space="preserve"> </w:t>
      </w:r>
      <w:r>
        <w:rPr>
          <w:rFonts w:ascii="Times New Roman" w:eastAsia="Times New Roman"/>
          <w:w w:val="99"/>
        </w:rPr>
        <w:t>1</w:t>
      </w:r>
      <w:r>
        <w:rPr>
          <w:rFonts w:ascii="Times New Roman" w:eastAsia="Times New Roman"/>
          <w:spacing w:val="-2"/>
        </w:rPr>
        <w:t xml:space="preserve"> </w:t>
      </w:r>
      <w:r>
        <w:rPr>
          <w:spacing w:val="-5"/>
          <w:w w:val="99"/>
        </w:rPr>
        <w:t>名联络人负责信息报送工作，联络人名单</w:t>
      </w:r>
      <w:r>
        <w:rPr>
          <w:rFonts w:ascii="楷体" w:eastAsia="楷体"/>
          <w:spacing w:val="-3"/>
          <w:w w:val="99"/>
        </w:rPr>
        <w:t>（姓名、</w:t>
      </w:r>
      <w:r>
        <w:rPr>
          <w:rFonts w:ascii="楷体" w:eastAsia="楷体"/>
          <w:spacing w:val="-5"/>
          <w:w w:val="99"/>
        </w:rPr>
        <w:t>职务、联系电话</w:t>
      </w:r>
      <w:r>
        <w:rPr>
          <w:rFonts w:ascii="楷体" w:eastAsia="楷体"/>
          <w:spacing w:val="-3"/>
          <w:w w:val="99"/>
        </w:rPr>
        <w:t>）</w:t>
      </w:r>
      <w:r>
        <w:rPr>
          <w:spacing w:val="-5"/>
          <w:w w:val="99"/>
        </w:rPr>
        <w:t>和经营性自建房安全隐患排查整治巩固提升工</w:t>
      </w:r>
      <w:r>
        <w:rPr>
          <w:spacing w:val="-11"/>
          <w:w w:val="99"/>
        </w:rPr>
        <w:t>作情况统计表</w:t>
      </w:r>
      <w:r>
        <w:rPr>
          <w:rFonts w:ascii="楷体" w:eastAsia="楷体"/>
          <w:spacing w:val="-5"/>
          <w:w w:val="99"/>
        </w:rPr>
        <w:t>（详见附件</w:t>
      </w:r>
      <w:r>
        <w:rPr>
          <w:rFonts w:ascii="楷体" w:eastAsia="楷体"/>
          <w:spacing w:val="-43"/>
          <w:w w:val="99"/>
        </w:rPr>
        <w:t>）</w:t>
      </w:r>
      <w:r>
        <w:rPr>
          <w:spacing w:val="-13"/>
          <w:w w:val="99"/>
        </w:rPr>
        <w:t>，分别于</w:t>
      </w:r>
      <w:r>
        <w:rPr>
          <w:spacing w:val="-86"/>
        </w:rPr>
        <w:t xml:space="preserve"> </w:t>
      </w:r>
      <w:r>
        <w:rPr>
          <w:rFonts w:ascii="Times New Roman" w:eastAsia="Times New Roman"/>
          <w:w w:val="99"/>
        </w:rPr>
        <w:t>8</w:t>
      </w:r>
      <w:r>
        <w:rPr>
          <w:rFonts w:ascii="Times New Roman" w:eastAsia="Times New Roman"/>
          <w:spacing w:val="-2"/>
        </w:rPr>
        <w:t xml:space="preserve"> </w:t>
      </w:r>
      <w:r>
        <w:rPr>
          <w:w w:val="99"/>
        </w:rPr>
        <w:t>月</w:t>
      </w:r>
      <w:r>
        <w:rPr>
          <w:spacing w:val="-83"/>
        </w:rPr>
        <w:t xml:space="preserve"> </w:t>
      </w:r>
      <w:r>
        <w:rPr>
          <w:rFonts w:ascii="Times New Roman" w:eastAsia="Times New Roman"/>
          <w:w w:val="99"/>
        </w:rPr>
        <w:t>8</w:t>
      </w:r>
      <w:r>
        <w:rPr>
          <w:rFonts w:ascii="Times New Roman" w:eastAsia="Times New Roman"/>
          <w:spacing w:val="-2"/>
        </w:rPr>
        <w:t xml:space="preserve"> </w:t>
      </w:r>
      <w:r>
        <w:rPr>
          <w:spacing w:val="-13"/>
          <w:w w:val="99"/>
        </w:rPr>
        <w:t>日、每月</w:t>
      </w:r>
      <w:r>
        <w:rPr>
          <w:spacing w:val="-86"/>
        </w:rPr>
        <w:t xml:space="preserve"> </w:t>
      </w:r>
      <w:r>
        <w:rPr>
          <w:rFonts w:ascii="Times New Roman" w:eastAsia="Times New Roman"/>
          <w:spacing w:val="-2"/>
          <w:w w:val="99"/>
        </w:rPr>
        <w:t>2</w:t>
      </w:r>
      <w:r>
        <w:rPr>
          <w:rFonts w:ascii="Times New Roman" w:eastAsia="Times New Roman"/>
          <w:w w:val="99"/>
        </w:rPr>
        <w:t>9</w:t>
      </w:r>
      <w:r>
        <w:rPr>
          <w:rFonts w:ascii="Times New Roman" w:eastAsia="Times New Roman"/>
          <w:spacing w:val="-5"/>
        </w:rPr>
        <w:t xml:space="preserve"> </w:t>
      </w:r>
      <w:r>
        <w:rPr>
          <w:spacing w:val="-3"/>
          <w:w w:val="99"/>
        </w:rPr>
        <w:t>日前报区</w:t>
      </w:r>
      <w:r>
        <w:rPr>
          <w:spacing w:val="-5"/>
          <w:w w:val="99"/>
        </w:rPr>
        <w:t>住房和城乡建设局。</w:t>
      </w:r>
    </w:p>
    <w:p w14:paraId="2E26BEBB">
      <w:pPr>
        <w:pStyle w:val="2"/>
        <w:spacing w:line="402" w:lineRule="exact"/>
        <w:ind w:left="737"/>
        <w:rPr>
          <w:rFonts w:ascii="黑体" w:eastAsia="黑体"/>
        </w:rPr>
      </w:pPr>
      <w:r>
        <w:rPr>
          <w:rFonts w:ascii="黑体" w:eastAsia="黑体"/>
          <w:spacing w:val="-2"/>
          <w:w w:val="95"/>
        </w:rPr>
        <w:t>一、组织领导</w:t>
      </w:r>
    </w:p>
    <w:p w14:paraId="1E31DC67">
      <w:pPr>
        <w:spacing w:after="0" w:line="402" w:lineRule="exact"/>
        <w:rPr>
          <w:rFonts w:ascii="黑体" w:eastAsia="黑体"/>
        </w:rPr>
        <w:sectPr>
          <w:pgSz w:w="11910" w:h="16840"/>
          <w:pgMar w:top="1920" w:right="1040" w:bottom="2040" w:left="1480" w:header="0" w:footer="1859" w:gutter="0"/>
          <w:cols w:space="720" w:num="1"/>
        </w:sectPr>
      </w:pPr>
    </w:p>
    <w:p w14:paraId="00EB75BE">
      <w:pPr>
        <w:pStyle w:val="2"/>
        <w:spacing w:before="4"/>
        <w:rPr>
          <w:rFonts w:ascii="黑体"/>
          <w:sz w:val="18"/>
        </w:rPr>
      </w:pPr>
    </w:p>
    <w:p w14:paraId="1BD4010C">
      <w:pPr>
        <w:pStyle w:val="2"/>
        <w:spacing w:before="54" w:line="328" w:lineRule="auto"/>
        <w:ind w:left="106" w:right="270" w:firstLine="633"/>
      </w:pPr>
      <w:r>
        <w:rPr>
          <w:rFonts w:ascii="楷体" w:eastAsia="楷体"/>
          <w:spacing w:val="-5"/>
          <w:w w:val="99"/>
        </w:rPr>
        <w:t>（一</w:t>
      </w:r>
      <w:r>
        <w:rPr>
          <w:rFonts w:ascii="楷体" w:eastAsia="楷体"/>
          <w:spacing w:val="-3"/>
          <w:w w:val="99"/>
        </w:rPr>
        <w:t>）</w:t>
      </w:r>
      <w:r>
        <w:rPr>
          <w:rFonts w:ascii="楷体" w:eastAsia="楷体"/>
          <w:spacing w:val="-5"/>
          <w:w w:val="99"/>
        </w:rPr>
        <w:t>压实各级责任。</w:t>
      </w:r>
      <w:r>
        <w:rPr>
          <w:spacing w:val="-5"/>
          <w:w w:val="99"/>
        </w:rPr>
        <w:t>区住房和城乡建设局主管部门组织巩固提升工作的实施。住房和城乡建设部门负责会同有关部门指导城乡自建房建设，牵头组织开展自建房专项整治工作，具体负责农村地区房屋安全隐患排查整治工作，归集整治信息，推进信息</w:t>
      </w:r>
      <w:r>
        <w:rPr>
          <w:spacing w:val="-2"/>
          <w:w w:val="99"/>
        </w:rPr>
        <w:t>共享</w:t>
      </w:r>
      <w:r>
        <w:rPr>
          <w:rFonts w:ascii="Times New Roman" w:eastAsia="Times New Roman"/>
          <w:spacing w:val="2"/>
          <w:w w:val="99"/>
        </w:rPr>
        <w:t>;</w:t>
      </w:r>
      <w:r>
        <w:rPr>
          <w:w w:val="99"/>
        </w:rPr>
        <w:t>城市管理</w:t>
      </w:r>
      <w:r>
        <w:rPr>
          <w:rFonts w:ascii="Times New Roman" w:eastAsia="Times New Roman"/>
          <w:spacing w:val="1"/>
          <w:w w:val="99"/>
        </w:rPr>
        <w:t>(</w:t>
      </w:r>
      <w:r>
        <w:rPr>
          <w:rFonts w:ascii="楷体" w:eastAsia="楷体"/>
          <w:spacing w:val="1"/>
          <w:w w:val="99"/>
        </w:rPr>
        <w:t>执法</w:t>
      </w:r>
      <w:r>
        <w:rPr>
          <w:rFonts w:ascii="Times New Roman" w:eastAsia="Times New Roman"/>
          <w:spacing w:val="1"/>
          <w:w w:val="99"/>
        </w:rPr>
        <w:t>)</w:t>
      </w:r>
      <w:r>
        <w:rPr>
          <w:w w:val="99"/>
        </w:rPr>
        <w:t>部门负责做好职责范围内对产权人</w:t>
      </w:r>
      <w:r>
        <w:rPr>
          <w:rFonts w:ascii="Times New Roman" w:eastAsia="Times New Roman"/>
          <w:spacing w:val="1"/>
          <w:w w:val="99"/>
        </w:rPr>
        <w:t>(</w:t>
      </w:r>
      <w:r>
        <w:rPr>
          <w:rFonts w:ascii="楷体" w:eastAsia="楷体"/>
          <w:w w:val="99"/>
        </w:rPr>
        <w:t>使用人</w:t>
      </w:r>
      <w:r>
        <w:rPr>
          <w:rFonts w:ascii="Times New Roman" w:eastAsia="Times New Roman"/>
          <w:w w:val="99"/>
        </w:rPr>
        <w:t>)</w:t>
      </w:r>
      <w:r>
        <w:rPr>
          <w:spacing w:val="-5"/>
          <w:w w:val="99"/>
        </w:rPr>
        <w:t>违反法律法规和政策规定行为的查处工作，具体负责城区房屋安</w:t>
      </w:r>
      <w:r>
        <w:rPr>
          <w:spacing w:val="5"/>
          <w:w w:val="99"/>
        </w:rPr>
        <w:t>全隐患排查整治工作</w:t>
      </w:r>
      <w:r>
        <w:rPr>
          <w:rFonts w:ascii="Times New Roman" w:eastAsia="Times New Roman"/>
          <w:spacing w:val="7"/>
          <w:w w:val="99"/>
        </w:rPr>
        <w:t>;</w:t>
      </w:r>
      <w:r>
        <w:rPr>
          <w:spacing w:val="4"/>
          <w:w w:val="99"/>
        </w:rPr>
        <w:t>机构编制部门负责加强房屋建筑安全管理</w:t>
      </w:r>
      <w:r>
        <w:rPr>
          <w:spacing w:val="-14"/>
          <w:w w:val="99"/>
        </w:rPr>
        <w:t>机构队伍建设，充实基层监管力量</w:t>
      </w:r>
      <w:r>
        <w:rPr>
          <w:rFonts w:ascii="Times New Roman" w:eastAsia="Times New Roman"/>
          <w:spacing w:val="-3"/>
          <w:w w:val="99"/>
        </w:rPr>
        <w:t>;</w:t>
      </w:r>
      <w:r>
        <w:rPr>
          <w:spacing w:val="-5"/>
          <w:w w:val="99"/>
        </w:rPr>
        <w:t>工业信息化和商务部门负责指导用于民爆企业、商贸企业及职责范围内用作工贸企业生产经营</w:t>
      </w:r>
      <w:r>
        <w:rPr>
          <w:spacing w:val="5"/>
          <w:w w:val="99"/>
        </w:rPr>
        <w:t>场所的自建房安全管理</w:t>
      </w:r>
      <w:r>
        <w:rPr>
          <w:rFonts w:ascii="Times New Roman" w:eastAsia="Times New Roman"/>
          <w:spacing w:val="5"/>
          <w:w w:val="99"/>
        </w:rPr>
        <w:t>;</w:t>
      </w:r>
      <w:r>
        <w:rPr>
          <w:spacing w:val="4"/>
          <w:w w:val="99"/>
        </w:rPr>
        <w:t>发展改革部门负责配合房屋综合管理信</w:t>
      </w:r>
      <w:r>
        <w:rPr>
          <w:spacing w:val="-5"/>
          <w:w w:val="99"/>
        </w:rPr>
        <w:t>息化建设等相关工作</w:t>
      </w:r>
      <w:r>
        <w:rPr>
          <w:rFonts w:ascii="Times New Roman" w:eastAsia="Times New Roman"/>
          <w:w w:val="99"/>
        </w:rPr>
        <w:t>;</w:t>
      </w:r>
      <w:r>
        <w:rPr>
          <w:spacing w:val="-5"/>
          <w:w w:val="99"/>
        </w:rPr>
        <w:t>教育体育部门负责指导用作学校、幼儿园、</w:t>
      </w:r>
      <w:r>
        <w:rPr>
          <w:spacing w:val="5"/>
          <w:w w:val="99"/>
        </w:rPr>
        <w:t>用于体育设施及职责范围内自建房安全管理</w:t>
      </w:r>
      <w:r>
        <w:rPr>
          <w:rFonts w:ascii="Times New Roman" w:eastAsia="Times New Roman"/>
          <w:spacing w:val="7"/>
          <w:w w:val="99"/>
        </w:rPr>
        <w:t>;</w:t>
      </w:r>
      <w:r>
        <w:rPr>
          <w:spacing w:val="4"/>
          <w:w w:val="99"/>
        </w:rPr>
        <w:t>民族宗教部门负责</w:t>
      </w:r>
      <w:r>
        <w:rPr>
          <w:spacing w:val="5"/>
          <w:w w:val="99"/>
        </w:rPr>
        <w:t>指导宗教活动场所安全管理</w:t>
      </w:r>
      <w:r>
        <w:rPr>
          <w:rFonts w:ascii="Times New Roman" w:eastAsia="Times New Roman"/>
          <w:spacing w:val="7"/>
          <w:w w:val="99"/>
        </w:rPr>
        <w:t>;</w:t>
      </w:r>
      <w:r>
        <w:rPr>
          <w:spacing w:val="4"/>
          <w:w w:val="99"/>
        </w:rPr>
        <w:t>公安部门负责指导用作旅馆的自建</w:t>
      </w:r>
      <w:r>
        <w:rPr>
          <w:spacing w:val="5"/>
          <w:w w:val="99"/>
        </w:rPr>
        <w:t>房特种行业许可证复核工作</w:t>
      </w:r>
      <w:r>
        <w:rPr>
          <w:rFonts w:ascii="Times New Roman" w:eastAsia="Times New Roman"/>
          <w:spacing w:val="7"/>
          <w:w w:val="99"/>
        </w:rPr>
        <w:t>;</w:t>
      </w:r>
      <w:r>
        <w:rPr>
          <w:spacing w:val="4"/>
          <w:w w:val="99"/>
        </w:rPr>
        <w:t>民政部门负责指导用作养老和儿童</w:t>
      </w:r>
      <w:r>
        <w:rPr>
          <w:spacing w:val="5"/>
          <w:w w:val="99"/>
        </w:rPr>
        <w:t>福利机构设施的自建房安全管理</w:t>
      </w:r>
      <w:r>
        <w:rPr>
          <w:rFonts w:ascii="Times New Roman" w:eastAsia="Times New Roman"/>
          <w:spacing w:val="7"/>
          <w:w w:val="99"/>
        </w:rPr>
        <w:t>;</w:t>
      </w:r>
      <w:r>
        <w:rPr>
          <w:spacing w:val="4"/>
          <w:w w:val="99"/>
        </w:rPr>
        <w:t>司法行政部门负责指导有关方</w:t>
      </w:r>
      <w:r>
        <w:rPr>
          <w:spacing w:val="-11"/>
          <w:w w:val="99"/>
        </w:rPr>
        <w:t>面完善城乡房屋安全管理制度，强化法治保障</w:t>
      </w:r>
      <w:r>
        <w:rPr>
          <w:rFonts w:ascii="Times New Roman" w:eastAsia="Times New Roman"/>
          <w:spacing w:val="-3"/>
          <w:w w:val="99"/>
        </w:rPr>
        <w:t>;</w:t>
      </w:r>
      <w:r>
        <w:rPr>
          <w:spacing w:val="-5"/>
          <w:w w:val="99"/>
        </w:rPr>
        <w:t>财政部门负责对自</w:t>
      </w:r>
      <w:r>
        <w:rPr>
          <w:spacing w:val="5"/>
          <w:w w:val="99"/>
        </w:rPr>
        <w:t>建房安全专项整治工作予以经费保障</w:t>
      </w:r>
      <w:r>
        <w:rPr>
          <w:rFonts w:ascii="Times New Roman" w:eastAsia="Times New Roman"/>
          <w:spacing w:val="4"/>
          <w:w w:val="99"/>
        </w:rPr>
        <w:t>;</w:t>
      </w:r>
      <w:r>
        <w:rPr>
          <w:spacing w:val="4"/>
          <w:w w:val="99"/>
        </w:rPr>
        <w:t>自然资源部门负责指导依</w:t>
      </w:r>
      <w:r>
        <w:rPr>
          <w:spacing w:val="-18"/>
          <w:w w:val="99"/>
        </w:rPr>
        <w:t>法依规用地，加强地质灾害风险排查，做好职责范围内违反用地、</w:t>
      </w:r>
      <w:r>
        <w:rPr>
          <w:spacing w:val="5"/>
          <w:w w:val="99"/>
        </w:rPr>
        <w:t>规划等法律法规和政策规定行为的查处工作</w:t>
      </w:r>
      <w:r>
        <w:rPr>
          <w:rFonts w:ascii="Times New Roman" w:eastAsia="Times New Roman"/>
          <w:spacing w:val="7"/>
          <w:w w:val="99"/>
        </w:rPr>
        <w:t>;</w:t>
      </w:r>
      <w:r>
        <w:rPr>
          <w:spacing w:val="4"/>
          <w:w w:val="99"/>
        </w:rPr>
        <w:t>交通运输部门负责</w:t>
      </w:r>
      <w:r>
        <w:rPr>
          <w:spacing w:val="5"/>
          <w:w w:val="99"/>
        </w:rPr>
        <w:t>指导用作交通运输场站的自建房安全管理</w:t>
      </w:r>
      <w:r>
        <w:rPr>
          <w:rFonts w:ascii="Times New Roman" w:eastAsia="Times New Roman"/>
          <w:spacing w:val="7"/>
          <w:w w:val="99"/>
        </w:rPr>
        <w:t>;</w:t>
      </w:r>
      <w:r>
        <w:rPr>
          <w:spacing w:val="4"/>
          <w:w w:val="99"/>
        </w:rPr>
        <w:t>农业农村部门按职责</w:t>
      </w:r>
      <w:r>
        <w:rPr>
          <w:spacing w:val="5"/>
          <w:w w:val="99"/>
        </w:rPr>
        <w:t>负责农村宅基地管理有关工作</w:t>
      </w:r>
      <w:r>
        <w:rPr>
          <w:rFonts w:ascii="Times New Roman" w:eastAsia="Times New Roman"/>
          <w:spacing w:val="7"/>
          <w:w w:val="99"/>
        </w:rPr>
        <w:t>;</w:t>
      </w:r>
      <w:r>
        <w:rPr>
          <w:spacing w:val="4"/>
          <w:w w:val="99"/>
        </w:rPr>
        <w:t>文化广电和旅游部门负责指导用</w:t>
      </w:r>
      <w:r>
        <w:rPr>
          <w:spacing w:val="5"/>
          <w:w w:val="99"/>
        </w:rPr>
        <w:t>作文化和旅游设施的自建房安全管理</w:t>
      </w:r>
      <w:r>
        <w:rPr>
          <w:rFonts w:ascii="Times New Roman" w:eastAsia="Times New Roman"/>
          <w:spacing w:val="6"/>
          <w:w w:val="99"/>
        </w:rPr>
        <w:t>,</w:t>
      </w:r>
      <w:r>
        <w:rPr>
          <w:spacing w:val="4"/>
          <w:w w:val="99"/>
        </w:rPr>
        <w:t>负责指导用作院的自建房</w:t>
      </w:r>
    </w:p>
    <w:p w14:paraId="52618A6C">
      <w:pPr>
        <w:spacing w:after="0" w:line="328" w:lineRule="auto"/>
        <w:sectPr>
          <w:pgSz w:w="11910" w:h="16840"/>
          <w:pgMar w:top="1920" w:right="1040" w:bottom="2040" w:left="1480" w:header="0" w:footer="1859" w:gutter="0"/>
          <w:cols w:space="720" w:num="1"/>
        </w:sectPr>
      </w:pPr>
    </w:p>
    <w:p w14:paraId="2B9E818A">
      <w:pPr>
        <w:pStyle w:val="2"/>
        <w:spacing w:before="7"/>
        <w:rPr>
          <w:sz w:val="17"/>
        </w:rPr>
      </w:pPr>
    </w:p>
    <w:p w14:paraId="526E91A2">
      <w:pPr>
        <w:pStyle w:val="2"/>
        <w:spacing w:before="64" w:line="328" w:lineRule="auto"/>
        <w:ind w:left="106" w:right="114"/>
      </w:pPr>
      <w:r>
        <w:rPr>
          <w:spacing w:val="5"/>
          <w:w w:val="99"/>
        </w:rPr>
        <w:t>安全管理</w:t>
      </w:r>
      <w:r>
        <w:rPr>
          <w:rFonts w:ascii="Times New Roman" w:eastAsia="Times New Roman"/>
          <w:spacing w:val="4"/>
          <w:w w:val="99"/>
        </w:rPr>
        <w:t>;</w:t>
      </w:r>
      <w:r>
        <w:rPr>
          <w:spacing w:val="4"/>
          <w:w w:val="99"/>
        </w:rPr>
        <w:t xml:space="preserve">卫生健康部门负责指导用作医疗卫生机构的自建房安 </w:t>
      </w:r>
      <w:r>
        <w:rPr>
          <w:spacing w:val="-4"/>
          <w:w w:val="99"/>
        </w:rPr>
        <w:t>全管理</w:t>
      </w:r>
      <w:r>
        <w:rPr>
          <w:rFonts w:ascii="Times New Roman" w:eastAsia="Times New Roman"/>
          <w:spacing w:val="-3"/>
          <w:w w:val="99"/>
        </w:rPr>
        <w:t>;</w:t>
      </w:r>
      <w:r>
        <w:rPr>
          <w:spacing w:val="-10"/>
          <w:w w:val="99"/>
        </w:rPr>
        <w:t xml:space="preserve">应急部门负责房屋安全突发事件应对处置工作，按职责指 </w:t>
      </w:r>
      <w:r>
        <w:rPr>
          <w:spacing w:val="5"/>
          <w:w w:val="99"/>
        </w:rPr>
        <w:t>导用作工贸企业生产经营场所的自建房安全管理</w:t>
      </w:r>
      <w:r>
        <w:rPr>
          <w:rFonts w:ascii="Times New Roman" w:eastAsia="Times New Roman"/>
          <w:spacing w:val="4"/>
          <w:w w:val="99"/>
        </w:rPr>
        <w:t>;</w:t>
      </w:r>
      <w:r>
        <w:rPr>
          <w:spacing w:val="4"/>
          <w:w w:val="99"/>
        </w:rPr>
        <w:t xml:space="preserve">市场监管部门 </w:t>
      </w:r>
      <w:r>
        <w:rPr>
          <w:spacing w:val="-5"/>
          <w:w w:val="99"/>
        </w:rPr>
        <w:t xml:space="preserve">负责指导自建房涉及的市场主体登记和食品经营许可证复查工作，推动将房屋建筑安全鉴定作为自建房办理相关经营许可、开展经 </w:t>
      </w:r>
      <w:r>
        <w:rPr>
          <w:spacing w:val="5"/>
          <w:w w:val="99"/>
        </w:rPr>
        <w:t>营活动的前提条件</w:t>
      </w:r>
      <w:r>
        <w:rPr>
          <w:rFonts w:ascii="Times New Roman" w:eastAsia="Times New Roman"/>
          <w:spacing w:val="7"/>
          <w:w w:val="99"/>
        </w:rPr>
        <w:t>;</w:t>
      </w:r>
      <w:r>
        <w:rPr>
          <w:spacing w:val="4"/>
          <w:w w:val="99"/>
        </w:rPr>
        <w:t xml:space="preserve">消防救援部门负责依法加强用作人员密集场 </w:t>
      </w:r>
      <w:r>
        <w:rPr>
          <w:spacing w:val="-5"/>
          <w:w w:val="99"/>
        </w:rPr>
        <w:t>所的自建房消防安全管理。其他行业主管部门分别负责指导各自 主管行业领域内自建房安全管理工作，依法依规查处违法违规行 为。要建立巩固提升工作机制，切实压实属地责任，形成工作合 力。各乡镇</w:t>
      </w:r>
      <w:r>
        <w:rPr>
          <w:rFonts w:ascii="楷体" w:eastAsia="楷体"/>
          <w:spacing w:val="-3"/>
          <w:w w:val="99"/>
        </w:rPr>
        <w:t>（</w:t>
      </w:r>
      <w:r>
        <w:rPr>
          <w:rFonts w:ascii="楷体" w:eastAsia="楷体"/>
          <w:spacing w:val="-5"/>
          <w:w w:val="99"/>
        </w:rPr>
        <w:t>街道、开发区）</w:t>
      </w:r>
      <w:r>
        <w:rPr>
          <w:spacing w:val="-5"/>
          <w:w w:val="99"/>
        </w:rPr>
        <w:t xml:space="preserve">要切实落实属地监管责任，督促产 </w:t>
      </w:r>
      <w:r>
        <w:rPr>
          <w:spacing w:val="-3"/>
          <w:w w:val="99"/>
        </w:rPr>
        <w:t>权单位</w:t>
      </w:r>
      <w:r>
        <w:rPr>
          <w:rFonts w:ascii="Times New Roman" w:eastAsia="Times New Roman"/>
          <w:spacing w:val="1"/>
          <w:w w:val="99"/>
        </w:rPr>
        <w:t>(</w:t>
      </w:r>
      <w:r>
        <w:rPr>
          <w:rFonts w:ascii="楷体" w:eastAsia="楷体"/>
          <w:w w:val="99"/>
        </w:rPr>
        <w:t>经营单位</w:t>
      </w:r>
      <w:r>
        <w:rPr>
          <w:rFonts w:ascii="Times New Roman" w:eastAsia="Times New Roman"/>
          <w:spacing w:val="1"/>
          <w:w w:val="99"/>
        </w:rPr>
        <w:t>)</w:t>
      </w:r>
      <w:r>
        <w:rPr>
          <w:w w:val="99"/>
        </w:rPr>
        <w:t xml:space="preserve">落实房屋安全第一责任人责任，做好房屋建筑 </w:t>
      </w:r>
      <w:r>
        <w:rPr>
          <w:spacing w:val="-5"/>
          <w:w w:val="99"/>
        </w:rPr>
        <w:t>日常使用安全管理和隐患发现、整改工作。</w:t>
      </w:r>
    </w:p>
    <w:p w14:paraId="141848DB">
      <w:pPr>
        <w:pStyle w:val="2"/>
        <w:spacing w:line="390" w:lineRule="exact"/>
        <w:ind w:left="740"/>
      </w:pPr>
      <w:r>
        <w:rPr>
          <w:rFonts w:ascii="Times New Roman" w:eastAsia="Times New Roman"/>
          <w:w w:val="95"/>
        </w:rPr>
        <w:t>(</w:t>
      </w:r>
      <w:r>
        <w:rPr>
          <w:rFonts w:ascii="楷体" w:eastAsia="楷体"/>
          <w:w w:val="95"/>
        </w:rPr>
        <w:t>二</w:t>
      </w:r>
      <w:r>
        <w:rPr>
          <w:rFonts w:ascii="Times New Roman" w:eastAsia="Times New Roman"/>
          <w:w w:val="95"/>
        </w:rPr>
        <w:t>)</w:t>
      </w:r>
      <w:r>
        <w:rPr>
          <w:rFonts w:ascii="楷体" w:eastAsia="楷体"/>
          <w:w w:val="95"/>
        </w:rPr>
        <w:t>提高整改质效。</w:t>
      </w:r>
      <w:r>
        <w:rPr>
          <w:w w:val="95"/>
        </w:rPr>
        <w:t>要准确判断新增隐患类型，并及时、</w:t>
      </w:r>
      <w:r>
        <w:rPr>
          <w:spacing w:val="-10"/>
          <w:w w:val="95"/>
        </w:rPr>
        <w:t>精</w:t>
      </w:r>
    </w:p>
    <w:p w14:paraId="24E91C0E">
      <w:pPr>
        <w:pStyle w:val="2"/>
        <w:spacing w:before="150" w:line="328" w:lineRule="auto"/>
        <w:ind w:left="106" w:right="114"/>
      </w:pPr>
      <w:r>
        <w:rPr>
          <w:spacing w:val="-5"/>
          <w:w w:val="99"/>
        </w:rPr>
        <w:t>准将房屋隐患信息上传至国家自建房安全专项整治信息归集平台。严格整治销号标准</w:t>
      </w:r>
      <w:r>
        <w:rPr>
          <w:rFonts w:ascii="Times New Roman" w:eastAsia="Times New Roman"/>
          <w:spacing w:val="-1"/>
          <w:w w:val="99"/>
        </w:rPr>
        <w:t>,</w:t>
      </w:r>
      <w:r>
        <w:rPr>
          <w:spacing w:val="-10"/>
          <w:w w:val="99"/>
        </w:rPr>
        <w:t xml:space="preserve">对于判定存在安全隐患的经营性自建房，经检 </w:t>
      </w:r>
      <w:r>
        <w:rPr>
          <w:spacing w:val="-5"/>
          <w:w w:val="99"/>
        </w:rPr>
        <w:t>查确认无安全隐患或安全隐患彻底消除之后，才能在信息归集平 台中销号。紧盯整治工作重点，不断提高采取工程措施整改率， 彻底消除房屋隐患。严格房屋安全鉴定管理，加大鉴定报告抽查 力度，确保鉴定报告质量。</w:t>
      </w:r>
    </w:p>
    <w:p w14:paraId="0CFB5208">
      <w:pPr>
        <w:pStyle w:val="2"/>
        <w:spacing w:line="328" w:lineRule="auto"/>
        <w:ind w:left="106" w:right="270" w:firstLine="633"/>
        <w:jc w:val="both"/>
      </w:pPr>
      <w:r>
        <w:rPr>
          <w:rFonts w:ascii="Times New Roman" w:eastAsia="Times New Roman"/>
          <w:spacing w:val="-2"/>
        </w:rPr>
        <w:t>(</w:t>
      </w:r>
      <w:r>
        <w:rPr>
          <w:rFonts w:ascii="楷体" w:eastAsia="楷体"/>
          <w:spacing w:val="-2"/>
        </w:rPr>
        <w:t>三</w:t>
      </w:r>
      <w:r>
        <w:rPr>
          <w:rFonts w:ascii="Times New Roman" w:eastAsia="Times New Roman"/>
          <w:spacing w:val="-2"/>
        </w:rPr>
        <w:t>)</w:t>
      </w:r>
      <w:r>
        <w:rPr>
          <w:rFonts w:ascii="楷体" w:eastAsia="楷体"/>
          <w:spacing w:val="-2"/>
        </w:rPr>
        <w:t>加强督导检查。</w:t>
      </w:r>
      <w:r>
        <w:rPr>
          <w:spacing w:val="-2"/>
        </w:rPr>
        <w:t>要加强对巩固提升工作的督导，运用系统抽检、实地暗访等手段，定期对所辖区域开展督导检查，督导</w:t>
      </w:r>
      <w:r>
        <w:rPr>
          <w:spacing w:val="-2"/>
          <w:w w:val="95"/>
        </w:rPr>
        <w:t>检查要延伸到风险最</w:t>
      </w:r>
      <w:r>
        <w:rPr>
          <w:spacing w:val="-15"/>
          <w:w w:val="95"/>
        </w:rPr>
        <w:t>突出、基础最薄</w:t>
      </w:r>
      <w:r>
        <w:rPr>
          <w:spacing w:val="-2"/>
          <w:w w:val="95"/>
        </w:rPr>
        <w:t>弱的</w:t>
      </w:r>
      <w:r>
        <w:rPr>
          <w:spacing w:val="-15"/>
          <w:w w:val="95"/>
        </w:rPr>
        <w:t>单位，对工作推</w:t>
      </w:r>
      <w:r>
        <w:rPr>
          <w:spacing w:val="-2"/>
          <w:w w:val="95"/>
        </w:rPr>
        <w:t>进不力、</w:t>
      </w:r>
    </w:p>
    <w:p w14:paraId="7180E8FD">
      <w:pPr>
        <w:spacing w:after="0" w:line="328" w:lineRule="auto"/>
        <w:jc w:val="both"/>
        <w:sectPr>
          <w:pgSz w:w="11910" w:h="16840"/>
          <w:pgMar w:top="1920" w:right="1040" w:bottom="2040" w:left="1480" w:header="0" w:footer="1859" w:gutter="0"/>
          <w:cols w:space="720" w:num="1"/>
        </w:sectPr>
      </w:pPr>
    </w:p>
    <w:p w14:paraId="59B9CEED">
      <w:pPr>
        <w:pStyle w:val="2"/>
        <w:spacing w:before="4"/>
        <w:rPr>
          <w:sz w:val="18"/>
        </w:rPr>
      </w:pPr>
    </w:p>
    <w:p w14:paraId="7D80D9A0">
      <w:pPr>
        <w:pStyle w:val="2"/>
        <w:spacing w:before="54" w:line="326" w:lineRule="auto"/>
        <w:ind w:left="106" w:right="429"/>
      </w:pPr>
      <w:r>
        <w:rPr>
          <w:spacing w:val="-5"/>
          <w:w w:val="99"/>
        </w:rPr>
        <w:t>重大事故隐患整治不力的要及时约谈、通报、曝光，严格问责问</w:t>
      </w:r>
      <w:r>
        <w:rPr>
          <w:spacing w:val="-2"/>
          <w:w w:val="99"/>
        </w:rPr>
        <w:t>效。</w:t>
      </w:r>
    </w:p>
    <w:p w14:paraId="05C17DC4">
      <w:pPr>
        <w:pStyle w:val="2"/>
        <w:spacing w:before="4" w:line="328" w:lineRule="auto"/>
        <w:ind w:left="106" w:right="270" w:firstLine="633"/>
      </w:pPr>
      <w:r>
        <w:rPr>
          <w:rFonts w:ascii="楷体" w:hAnsi="楷体" w:eastAsia="楷体"/>
          <w:spacing w:val="-3"/>
          <w:w w:val="99"/>
        </w:rPr>
        <w:t>（</w:t>
      </w:r>
      <w:r>
        <w:rPr>
          <w:rFonts w:ascii="楷体" w:hAnsi="楷体" w:eastAsia="楷体"/>
          <w:spacing w:val="-7"/>
          <w:w w:val="99"/>
        </w:rPr>
        <w:t>四</w:t>
      </w:r>
      <w:r>
        <w:rPr>
          <w:rFonts w:ascii="楷体" w:hAnsi="楷体" w:eastAsia="楷体"/>
          <w:spacing w:val="-82"/>
          <w:w w:val="99"/>
        </w:rPr>
        <w:t>）</w:t>
      </w:r>
      <w:r>
        <w:rPr>
          <w:rFonts w:ascii="楷体" w:hAnsi="楷体" w:eastAsia="楷体"/>
          <w:spacing w:val="-16"/>
          <w:w w:val="99"/>
        </w:rPr>
        <w:t>强化宣传教育。</w:t>
      </w:r>
      <w:r>
        <w:rPr>
          <w:spacing w:val="-5"/>
          <w:w w:val="99"/>
        </w:rPr>
        <w:t>深入宣传巩固提升工作取得的新进展、新成效，总结推广“治旧控新”好经验好做法，发挥示范引领带动作用，引导全社会强化房屋安全意识，营造巩固提升工作良好</w:t>
      </w:r>
      <w:r>
        <w:rPr>
          <w:spacing w:val="-4"/>
          <w:w w:val="99"/>
        </w:rPr>
        <w:t>社会氛围。</w:t>
      </w:r>
    </w:p>
    <w:p w14:paraId="5019545E">
      <w:pPr>
        <w:pStyle w:val="2"/>
        <w:spacing w:before="7"/>
        <w:rPr>
          <w:rFonts w:ascii="Times New Roman"/>
          <w:sz w:val="27"/>
        </w:rPr>
      </w:pPr>
    </w:p>
    <w:p w14:paraId="35259005">
      <w:pPr>
        <w:pStyle w:val="2"/>
        <w:spacing w:line="326" w:lineRule="auto"/>
        <w:ind w:left="1671" w:right="430" w:hanging="948"/>
      </w:pPr>
      <w:r>
        <w:rPr>
          <w:w w:val="99"/>
        </w:rPr>
        <w:t>附件：</w:t>
      </w:r>
      <w:r>
        <w:rPr>
          <w:rFonts w:ascii="Times New Roman" w:eastAsia="Times New Roman"/>
          <w:spacing w:val="-2"/>
          <w:w w:val="99"/>
        </w:rPr>
        <w:t>1</w:t>
      </w:r>
      <w:r>
        <w:rPr>
          <w:rFonts w:ascii="Times New Roman" w:eastAsia="Times New Roman"/>
          <w:spacing w:val="-1"/>
          <w:w w:val="99"/>
        </w:rPr>
        <w:t>.</w:t>
      </w:r>
      <w:r>
        <w:rPr>
          <w:w w:val="99"/>
        </w:rPr>
        <w:t>建安区经营性自建房安全隐患排查整治巩固提升</w:t>
      </w:r>
      <w:r>
        <w:rPr>
          <w:rFonts w:ascii="楷体" w:eastAsia="楷体"/>
          <w:spacing w:val="-11"/>
          <w:w w:val="99"/>
        </w:rPr>
        <w:t>工</w:t>
      </w:r>
      <w:r>
        <w:rPr>
          <w:rFonts w:ascii="楷体" w:eastAsia="楷体"/>
          <w:spacing w:val="-3"/>
          <w:w w:val="99"/>
        </w:rPr>
        <w:t>作</w:t>
      </w:r>
      <w:r>
        <w:rPr>
          <w:spacing w:val="-5"/>
          <w:w w:val="99"/>
        </w:rPr>
        <w:t>情况统计表；</w:t>
      </w:r>
    </w:p>
    <w:p w14:paraId="4A2D4951">
      <w:pPr>
        <w:pStyle w:val="2"/>
        <w:spacing w:before="6"/>
        <w:ind w:left="1685"/>
      </w:pPr>
      <w:r>
        <w:rPr>
          <w:rFonts w:ascii="Times New Roman" w:eastAsia="Times New Roman"/>
          <w:w w:val="95"/>
        </w:rPr>
        <w:t>2.</w:t>
      </w:r>
      <w:r>
        <w:rPr>
          <w:spacing w:val="-1"/>
          <w:w w:val="95"/>
        </w:rPr>
        <w:t>房屋用途变化情况统计表。</w:t>
      </w:r>
    </w:p>
    <w:p w14:paraId="26D669D4">
      <w:pPr>
        <w:spacing w:after="0"/>
        <w:sectPr>
          <w:pgSz w:w="11910" w:h="16840"/>
          <w:pgMar w:top="1920" w:right="1040" w:bottom="2040" w:left="1480" w:header="0" w:footer="1859" w:gutter="0"/>
          <w:cols w:space="720" w:num="1"/>
        </w:sectPr>
      </w:pPr>
    </w:p>
    <w:p w14:paraId="1DFB843A">
      <w:pPr>
        <w:pStyle w:val="2"/>
        <w:rPr>
          <w:sz w:val="20"/>
        </w:rPr>
      </w:pPr>
    </w:p>
    <w:p w14:paraId="681D8C18">
      <w:pPr>
        <w:pStyle w:val="2"/>
        <w:rPr>
          <w:sz w:val="20"/>
        </w:rPr>
      </w:pPr>
    </w:p>
    <w:p w14:paraId="21D09AD4">
      <w:pPr>
        <w:pStyle w:val="2"/>
        <w:spacing w:before="12"/>
        <w:rPr>
          <w:sz w:val="21"/>
        </w:rPr>
      </w:pPr>
    </w:p>
    <w:p w14:paraId="4E2D77CD">
      <w:pPr>
        <w:pStyle w:val="2"/>
        <w:spacing w:before="54"/>
        <w:ind w:left="226"/>
        <w:rPr>
          <w:rFonts w:ascii="黑体" w:eastAsia="黑体"/>
        </w:rPr>
      </w:pPr>
      <w:r>
        <w:rPr>
          <w:rFonts w:ascii="黑体" w:eastAsia="黑体"/>
        </w:rPr>
        <w:t>附件</w:t>
      </w:r>
      <w:r>
        <w:rPr>
          <w:rFonts w:ascii="黑体" w:eastAsia="黑体"/>
          <w:spacing w:val="-4"/>
        </w:rPr>
        <w:t xml:space="preserve"> </w:t>
      </w:r>
      <w:r>
        <w:rPr>
          <w:rFonts w:ascii="黑体" w:eastAsia="黑体"/>
          <w:spacing w:val="-10"/>
        </w:rPr>
        <w:t>1</w:t>
      </w:r>
    </w:p>
    <w:p w14:paraId="13CCA5F7">
      <w:pPr>
        <w:pStyle w:val="2"/>
        <w:spacing w:before="7"/>
        <w:rPr>
          <w:rFonts w:ascii="黑体"/>
          <w:sz w:val="10"/>
        </w:rPr>
      </w:pPr>
      <w:r>
        <w:drawing>
          <wp:anchor distT="0" distB="0" distL="0" distR="0" simplePos="0" relativeHeight="251660288" behindDoc="0" locked="0" layoutInCell="1" allowOverlap="1">
            <wp:simplePos x="0" y="0"/>
            <wp:positionH relativeFrom="page">
              <wp:posOffset>2541905</wp:posOffset>
            </wp:positionH>
            <wp:positionV relativeFrom="paragraph">
              <wp:posOffset>100965</wp:posOffset>
            </wp:positionV>
            <wp:extent cx="5967095" cy="20828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3" cstate="print"/>
                    <a:stretch>
                      <a:fillRect/>
                    </a:stretch>
                  </pic:blipFill>
                  <pic:spPr>
                    <a:xfrm>
                      <a:off x="0" y="0"/>
                      <a:ext cx="5967345" cy="208025"/>
                    </a:xfrm>
                    <a:prstGeom prst="rect">
                      <a:avLst/>
                    </a:prstGeom>
                  </pic:spPr>
                </pic:pic>
              </a:graphicData>
            </a:graphic>
          </wp:anchor>
        </w:drawing>
      </w:r>
    </w:p>
    <w:p w14:paraId="315C6047">
      <w:pPr>
        <w:tabs>
          <w:tab w:val="left" w:pos="4371"/>
          <w:tab w:val="left" w:pos="6317"/>
          <w:tab w:val="left" w:pos="8783"/>
          <w:tab w:val="left" w:pos="10726"/>
          <w:tab w:val="left" w:pos="12877"/>
        </w:tabs>
        <w:spacing w:before="252" w:after="46"/>
        <w:ind w:left="857" w:right="0" w:firstLine="0"/>
        <w:jc w:val="left"/>
        <w:rPr>
          <w:rFonts w:ascii="Times New Roman" w:eastAsia="Times New Roman"/>
          <w:sz w:val="21"/>
        </w:rPr>
      </w:pPr>
      <w:r>
        <w:rPr>
          <w:w w:val="95"/>
          <w:sz w:val="21"/>
        </w:rPr>
        <w:t>填报单位：（盖章</w:t>
      </w:r>
      <w:r>
        <w:rPr>
          <w:spacing w:val="-5"/>
          <w:w w:val="95"/>
          <w:sz w:val="21"/>
        </w:rPr>
        <w:t>）：</w:t>
      </w:r>
      <w:r>
        <w:rPr>
          <w:rFonts w:ascii="Times New Roman" w:eastAsia="Times New Roman"/>
          <w:sz w:val="21"/>
          <w:u w:val="single"/>
        </w:rPr>
        <w:tab/>
      </w:r>
      <w:r>
        <w:rPr>
          <w:rFonts w:ascii="Times New Roman" w:eastAsia="Times New Roman"/>
          <w:sz w:val="21"/>
        </w:rPr>
        <w:tab/>
      </w:r>
      <w:r>
        <w:rPr>
          <w:w w:val="95"/>
          <w:sz w:val="21"/>
        </w:rPr>
        <w:t>填报时间</w:t>
      </w:r>
      <w:r>
        <w:rPr>
          <w:spacing w:val="-10"/>
          <w:w w:val="95"/>
          <w:sz w:val="21"/>
        </w:rPr>
        <w:t>：</w:t>
      </w:r>
      <w:r>
        <w:rPr>
          <w:rFonts w:ascii="Times New Roman" w:eastAsia="Times New Roman"/>
          <w:sz w:val="21"/>
          <w:u w:val="single"/>
        </w:rPr>
        <w:tab/>
      </w:r>
      <w:r>
        <w:rPr>
          <w:rFonts w:ascii="Times New Roman" w:eastAsia="Times New Roman"/>
          <w:sz w:val="21"/>
        </w:rPr>
        <w:tab/>
      </w:r>
      <w:r>
        <w:rPr>
          <w:w w:val="95"/>
          <w:sz w:val="21"/>
        </w:rPr>
        <w:t>填报人：</w:t>
      </w:r>
      <w:r>
        <w:rPr>
          <w:sz w:val="21"/>
        </w:rPr>
        <w:t xml:space="preserve"> </w:t>
      </w:r>
      <w:r>
        <w:rPr>
          <w:rFonts w:ascii="Times New Roman" w:eastAsia="Times New Roman"/>
          <w:sz w:val="21"/>
          <w:u w:val="single"/>
        </w:rPr>
        <w:tab/>
      </w:r>
    </w:p>
    <w:tbl>
      <w:tblPr>
        <w:tblStyle w:val="3"/>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2"/>
        <w:gridCol w:w="863"/>
        <w:gridCol w:w="869"/>
        <w:gridCol w:w="983"/>
        <w:gridCol w:w="983"/>
        <w:gridCol w:w="984"/>
        <w:gridCol w:w="984"/>
        <w:gridCol w:w="984"/>
        <w:gridCol w:w="984"/>
        <w:gridCol w:w="1107"/>
        <w:gridCol w:w="1112"/>
        <w:gridCol w:w="733"/>
        <w:gridCol w:w="984"/>
        <w:gridCol w:w="984"/>
        <w:gridCol w:w="888"/>
      </w:tblGrid>
      <w:tr w14:paraId="66A3B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2" w:type="dxa"/>
            <w:tcBorders>
              <w:bottom w:val="nil"/>
            </w:tcBorders>
          </w:tcPr>
          <w:p w14:paraId="30BF156A">
            <w:pPr>
              <w:pStyle w:val="7"/>
              <w:rPr>
                <w:rFonts w:ascii="Times New Roman"/>
                <w:sz w:val="20"/>
              </w:rPr>
            </w:pPr>
          </w:p>
        </w:tc>
        <w:tc>
          <w:tcPr>
            <w:tcW w:w="3698" w:type="dxa"/>
            <w:gridSpan w:val="4"/>
          </w:tcPr>
          <w:p w14:paraId="56187D60">
            <w:pPr>
              <w:pStyle w:val="7"/>
              <w:spacing w:before="9"/>
              <w:rPr>
                <w:rFonts w:ascii="Times New Roman"/>
                <w:sz w:val="21"/>
              </w:rPr>
            </w:pPr>
          </w:p>
          <w:p w14:paraId="3C126414">
            <w:pPr>
              <w:pStyle w:val="7"/>
              <w:ind w:left="378"/>
              <w:rPr>
                <w:sz w:val="21"/>
              </w:rPr>
            </w:pPr>
            <w:r>
              <w:rPr>
                <w:spacing w:val="-1"/>
                <w:w w:val="95"/>
                <w:sz w:val="21"/>
              </w:rPr>
              <w:t>前期集中排查属于经营性自建房</w:t>
            </w:r>
          </w:p>
        </w:tc>
        <w:tc>
          <w:tcPr>
            <w:tcW w:w="2952" w:type="dxa"/>
            <w:gridSpan w:val="3"/>
          </w:tcPr>
          <w:p w14:paraId="64025520">
            <w:pPr>
              <w:pStyle w:val="7"/>
              <w:spacing w:before="154" w:line="213" w:lineRule="auto"/>
              <w:ind w:left="215" w:right="-15" w:hanging="108"/>
              <w:rPr>
                <w:sz w:val="21"/>
              </w:rPr>
            </w:pPr>
            <w:r>
              <w:rPr>
                <w:spacing w:val="-12"/>
                <w:sz w:val="21"/>
              </w:rPr>
              <w:t>前期集中排查为“其他自建房”</w:t>
            </w:r>
            <w:r>
              <w:rPr>
                <w:spacing w:val="-2"/>
                <w:sz w:val="21"/>
              </w:rPr>
              <w:t>而目前实际为经营性自建房</w:t>
            </w:r>
          </w:p>
        </w:tc>
        <w:tc>
          <w:tcPr>
            <w:tcW w:w="3203" w:type="dxa"/>
            <w:gridSpan w:val="3"/>
          </w:tcPr>
          <w:p w14:paraId="746F7168">
            <w:pPr>
              <w:pStyle w:val="7"/>
              <w:spacing w:before="154" w:line="213" w:lineRule="auto"/>
              <w:ind w:left="131" w:right="121"/>
              <w:rPr>
                <w:sz w:val="21"/>
              </w:rPr>
            </w:pPr>
            <w:r>
              <w:rPr>
                <w:spacing w:val="-2"/>
                <w:sz w:val="21"/>
              </w:rPr>
              <w:t>前期集中排查为“不需要排查”</w:t>
            </w:r>
            <w:r>
              <w:rPr>
                <w:spacing w:val="-1"/>
                <w:w w:val="95"/>
                <w:sz w:val="21"/>
              </w:rPr>
              <w:t>房屋而目前实际为经营性自建房</w:t>
            </w:r>
          </w:p>
        </w:tc>
        <w:tc>
          <w:tcPr>
            <w:tcW w:w="3589" w:type="dxa"/>
            <w:gridSpan w:val="4"/>
          </w:tcPr>
          <w:p w14:paraId="54876755">
            <w:pPr>
              <w:pStyle w:val="7"/>
              <w:spacing w:before="154" w:line="213" w:lineRule="auto"/>
              <w:ind w:left="744" w:right="734"/>
              <w:rPr>
                <w:sz w:val="21"/>
              </w:rPr>
            </w:pPr>
            <w:r>
              <w:rPr>
                <w:spacing w:val="-2"/>
                <w:sz w:val="21"/>
              </w:rPr>
              <w:t>前期集中排查无此房屋</w:t>
            </w:r>
            <w:r>
              <w:rPr>
                <w:spacing w:val="-1"/>
                <w:w w:val="95"/>
                <w:sz w:val="21"/>
              </w:rPr>
              <w:t>属于新增经营性自建房</w:t>
            </w:r>
          </w:p>
        </w:tc>
      </w:tr>
      <w:tr w14:paraId="1C6AF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732" w:type="dxa"/>
            <w:tcBorders>
              <w:top w:val="nil"/>
              <w:bottom w:val="nil"/>
            </w:tcBorders>
          </w:tcPr>
          <w:p w14:paraId="55A61C83">
            <w:pPr>
              <w:pStyle w:val="7"/>
              <w:rPr>
                <w:rFonts w:ascii="Times New Roman"/>
                <w:sz w:val="20"/>
              </w:rPr>
            </w:pPr>
          </w:p>
          <w:p w14:paraId="047997BE">
            <w:pPr>
              <w:pStyle w:val="7"/>
              <w:spacing w:before="168" w:line="240" w:lineRule="exact"/>
              <w:ind w:left="155" w:right="147"/>
              <w:rPr>
                <w:sz w:val="21"/>
              </w:rPr>
            </w:pPr>
            <w:r>
              <w:rPr>
                <w:spacing w:val="-6"/>
                <w:sz w:val="21"/>
              </w:rPr>
              <w:t>行政</w:t>
            </w:r>
            <w:r>
              <w:rPr>
                <w:w w:val="95"/>
                <w:sz w:val="21"/>
              </w:rPr>
              <w:t>区</w:t>
            </w:r>
            <w:r>
              <w:rPr>
                <w:spacing w:val="-10"/>
                <w:sz w:val="21"/>
              </w:rPr>
              <w:t>划</w:t>
            </w:r>
          </w:p>
        </w:tc>
        <w:tc>
          <w:tcPr>
            <w:tcW w:w="1732" w:type="dxa"/>
            <w:gridSpan w:val="2"/>
          </w:tcPr>
          <w:p w14:paraId="56498A7D">
            <w:pPr>
              <w:pStyle w:val="7"/>
              <w:spacing w:before="1"/>
              <w:rPr>
                <w:rFonts w:ascii="Times New Roman"/>
                <w:sz w:val="27"/>
              </w:rPr>
            </w:pPr>
          </w:p>
          <w:p w14:paraId="43F22FDE">
            <w:pPr>
              <w:pStyle w:val="7"/>
              <w:ind w:left="445"/>
              <w:rPr>
                <w:sz w:val="21"/>
              </w:rPr>
            </w:pPr>
            <w:r>
              <w:rPr>
                <w:spacing w:val="-3"/>
                <w:w w:val="95"/>
                <w:sz w:val="21"/>
              </w:rPr>
              <w:t>排查情况</w:t>
            </w:r>
          </w:p>
        </w:tc>
        <w:tc>
          <w:tcPr>
            <w:tcW w:w="1966" w:type="dxa"/>
            <w:gridSpan w:val="2"/>
          </w:tcPr>
          <w:p w14:paraId="65D93BB4">
            <w:pPr>
              <w:pStyle w:val="7"/>
              <w:spacing w:before="1"/>
              <w:rPr>
                <w:rFonts w:ascii="Times New Roman"/>
                <w:sz w:val="27"/>
              </w:rPr>
            </w:pPr>
          </w:p>
          <w:p w14:paraId="7C02E6FA">
            <w:pPr>
              <w:pStyle w:val="7"/>
              <w:ind w:left="352"/>
              <w:rPr>
                <w:sz w:val="21"/>
              </w:rPr>
            </w:pPr>
            <w:r>
              <w:rPr>
                <w:spacing w:val="-2"/>
                <w:w w:val="95"/>
                <w:sz w:val="21"/>
              </w:rPr>
              <w:t>新增隐患情况</w:t>
            </w:r>
          </w:p>
        </w:tc>
        <w:tc>
          <w:tcPr>
            <w:tcW w:w="984" w:type="dxa"/>
          </w:tcPr>
          <w:p w14:paraId="37B09C5C">
            <w:pPr>
              <w:pStyle w:val="7"/>
              <w:spacing w:before="7"/>
              <w:rPr>
                <w:rFonts w:ascii="Times New Roman"/>
                <w:sz w:val="18"/>
              </w:rPr>
            </w:pPr>
          </w:p>
          <w:p w14:paraId="7C1B6541">
            <w:pPr>
              <w:pStyle w:val="7"/>
              <w:spacing w:before="1" w:line="213" w:lineRule="auto"/>
              <w:ind w:left="282" w:right="271"/>
              <w:rPr>
                <w:sz w:val="21"/>
              </w:rPr>
            </w:pPr>
            <w:r>
              <w:rPr>
                <w:spacing w:val="-6"/>
                <w:sz w:val="21"/>
              </w:rPr>
              <w:t>排查</w:t>
            </w:r>
            <w:r>
              <w:rPr>
                <w:spacing w:val="-5"/>
                <w:w w:val="95"/>
                <w:sz w:val="21"/>
              </w:rPr>
              <w:t>情况</w:t>
            </w:r>
          </w:p>
        </w:tc>
        <w:tc>
          <w:tcPr>
            <w:tcW w:w="1968" w:type="dxa"/>
            <w:gridSpan w:val="2"/>
          </w:tcPr>
          <w:p w14:paraId="17F4731D">
            <w:pPr>
              <w:pStyle w:val="7"/>
              <w:spacing w:before="1"/>
              <w:rPr>
                <w:rFonts w:ascii="Times New Roman"/>
                <w:sz w:val="27"/>
              </w:rPr>
            </w:pPr>
          </w:p>
          <w:p w14:paraId="52184E82">
            <w:pPr>
              <w:pStyle w:val="7"/>
              <w:ind w:left="354"/>
              <w:rPr>
                <w:sz w:val="21"/>
              </w:rPr>
            </w:pPr>
            <w:r>
              <w:rPr>
                <w:spacing w:val="-2"/>
                <w:w w:val="95"/>
                <w:sz w:val="21"/>
              </w:rPr>
              <w:t>新增隐患情况</w:t>
            </w:r>
          </w:p>
        </w:tc>
        <w:tc>
          <w:tcPr>
            <w:tcW w:w="984" w:type="dxa"/>
          </w:tcPr>
          <w:p w14:paraId="107AA5D6">
            <w:pPr>
              <w:pStyle w:val="7"/>
              <w:spacing w:before="7"/>
              <w:rPr>
                <w:rFonts w:ascii="Times New Roman"/>
                <w:sz w:val="18"/>
              </w:rPr>
            </w:pPr>
          </w:p>
          <w:p w14:paraId="35287507">
            <w:pPr>
              <w:pStyle w:val="7"/>
              <w:spacing w:before="1" w:line="213" w:lineRule="auto"/>
              <w:ind w:left="282" w:right="271"/>
              <w:rPr>
                <w:sz w:val="21"/>
              </w:rPr>
            </w:pPr>
            <w:r>
              <w:rPr>
                <w:spacing w:val="-6"/>
                <w:sz w:val="21"/>
              </w:rPr>
              <w:t>排查</w:t>
            </w:r>
            <w:r>
              <w:rPr>
                <w:spacing w:val="-5"/>
                <w:w w:val="95"/>
                <w:sz w:val="21"/>
              </w:rPr>
              <w:t>情况</w:t>
            </w:r>
          </w:p>
        </w:tc>
        <w:tc>
          <w:tcPr>
            <w:tcW w:w="2219" w:type="dxa"/>
            <w:gridSpan w:val="2"/>
          </w:tcPr>
          <w:p w14:paraId="40465CDF">
            <w:pPr>
              <w:pStyle w:val="7"/>
              <w:spacing w:before="1"/>
              <w:rPr>
                <w:rFonts w:ascii="Times New Roman"/>
                <w:sz w:val="27"/>
              </w:rPr>
            </w:pPr>
          </w:p>
          <w:p w14:paraId="25CBFFEA">
            <w:pPr>
              <w:pStyle w:val="7"/>
              <w:ind w:left="479"/>
              <w:rPr>
                <w:sz w:val="21"/>
              </w:rPr>
            </w:pPr>
            <w:r>
              <w:rPr>
                <w:spacing w:val="-2"/>
                <w:w w:val="95"/>
                <w:sz w:val="21"/>
              </w:rPr>
              <w:t>新增隐患情况</w:t>
            </w:r>
          </w:p>
        </w:tc>
        <w:tc>
          <w:tcPr>
            <w:tcW w:w="733" w:type="dxa"/>
          </w:tcPr>
          <w:p w14:paraId="122C7963">
            <w:pPr>
              <w:pStyle w:val="7"/>
              <w:spacing w:before="7"/>
              <w:rPr>
                <w:rFonts w:ascii="Times New Roman"/>
                <w:sz w:val="18"/>
              </w:rPr>
            </w:pPr>
          </w:p>
          <w:p w14:paraId="3D4BF7C5">
            <w:pPr>
              <w:pStyle w:val="7"/>
              <w:spacing w:before="1" w:line="213" w:lineRule="auto"/>
              <w:ind w:left="156" w:right="146"/>
              <w:rPr>
                <w:sz w:val="21"/>
              </w:rPr>
            </w:pPr>
            <w:r>
              <w:rPr>
                <w:spacing w:val="-6"/>
                <w:sz w:val="21"/>
              </w:rPr>
              <w:t>排查</w:t>
            </w:r>
            <w:r>
              <w:rPr>
                <w:spacing w:val="-5"/>
                <w:w w:val="95"/>
                <w:sz w:val="21"/>
              </w:rPr>
              <w:t>情况</w:t>
            </w:r>
          </w:p>
        </w:tc>
        <w:tc>
          <w:tcPr>
            <w:tcW w:w="1968" w:type="dxa"/>
            <w:gridSpan w:val="2"/>
          </w:tcPr>
          <w:p w14:paraId="13A6B8E4">
            <w:pPr>
              <w:pStyle w:val="7"/>
              <w:spacing w:before="1"/>
              <w:rPr>
                <w:rFonts w:ascii="Times New Roman"/>
                <w:sz w:val="27"/>
              </w:rPr>
            </w:pPr>
          </w:p>
          <w:p w14:paraId="460A72CF">
            <w:pPr>
              <w:pStyle w:val="7"/>
              <w:ind w:left="354"/>
              <w:rPr>
                <w:sz w:val="21"/>
              </w:rPr>
            </w:pPr>
            <w:r>
              <w:rPr>
                <w:spacing w:val="-2"/>
                <w:w w:val="95"/>
                <w:sz w:val="21"/>
              </w:rPr>
              <w:t>新增隐患情况</w:t>
            </w:r>
          </w:p>
        </w:tc>
        <w:tc>
          <w:tcPr>
            <w:tcW w:w="888" w:type="dxa"/>
          </w:tcPr>
          <w:p w14:paraId="532AB50C">
            <w:pPr>
              <w:pStyle w:val="7"/>
              <w:spacing w:before="7"/>
              <w:rPr>
                <w:rFonts w:ascii="Times New Roman"/>
                <w:sz w:val="18"/>
              </w:rPr>
            </w:pPr>
          </w:p>
          <w:p w14:paraId="74E189F4">
            <w:pPr>
              <w:pStyle w:val="7"/>
              <w:spacing w:before="1" w:line="213" w:lineRule="auto"/>
              <w:ind w:left="129" w:right="117"/>
              <w:rPr>
                <w:sz w:val="21"/>
              </w:rPr>
            </w:pPr>
            <w:r>
              <w:rPr>
                <w:spacing w:val="-4"/>
                <w:sz w:val="21"/>
              </w:rPr>
              <w:t>信息录</w:t>
            </w:r>
            <w:r>
              <w:rPr>
                <w:spacing w:val="-4"/>
                <w:w w:val="95"/>
                <w:sz w:val="21"/>
              </w:rPr>
              <w:t>入情况</w:t>
            </w:r>
          </w:p>
        </w:tc>
      </w:tr>
      <w:tr w14:paraId="5B952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732" w:type="dxa"/>
            <w:tcBorders>
              <w:top w:val="nil"/>
              <w:bottom w:val="nil"/>
            </w:tcBorders>
          </w:tcPr>
          <w:p w14:paraId="4A5C1742">
            <w:pPr>
              <w:pStyle w:val="7"/>
              <w:rPr>
                <w:rFonts w:ascii="Times New Roman"/>
                <w:sz w:val="20"/>
              </w:rPr>
            </w:pPr>
          </w:p>
        </w:tc>
        <w:tc>
          <w:tcPr>
            <w:tcW w:w="863" w:type="dxa"/>
            <w:tcBorders>
              <w:bottom w:val="nil"/>
            </w:tcBorders>
          </w:tcPr>
          <w:p w14:paraId="0A219386">
            <w:pPr>
              <w:pStyle w:val="7"/>
              <w:spacing w:before="102" w:line="230" w:lineRule="exact"/>
              <w:ind w:left="117" w:right="108"/>
              <w:jc w:val="center"/>
              <w:rPr>
                <w:sz w:val="21"/>
              </w:rPr>
            </w:pPr>
            <w:r>
              <w:rPr>
                <w:spacing w:val="-4"/>
                <w:w w:val="95"/>
                <w:sz w:val="21"/>
              </w:rPr>
              <w:t>经营性</w:t>
            </w:r>
          </w:p>
        </w:tc>
        <w:tc>
          <w:tcPr>
            <w:tcW w:w="869" w:type="dxa"/>
            <w:vMerge w:val="restart"/>
          </w:tcPr>
          <w:p w14:paraId="51282D75">
            <w:pPr>
              <w:pStyle w:val="7"/>
              <w:spacing w:before="3"/>
              <w:rPr>
                <w:rFonts w:ascii="Times New Roman"/>
                <w:sz w:val="21"/>
              </w:rPr>
            </w:pPr>
          </w:p>
          <w:p w14:paraId="212FD18E">
            <w:pPr>
              <w:pStyle w:val="7"/>
              <w:spacing w:before="1" w:line="213" w:lineRule="auto"/>
              <w:ind w:left="117" w:right="110"/>
              <w:jc w:val="center"/>
              <w:rPr>
                <w:rFonts w:ascii="Times New Roman" w:eastAsia="Times New Roman"/>
                <w:sz w:val="21"/>
              </w:rPr>
            </w:pPr>
            <w:r>
              <w:rPr>
                <w:spacing w:val="-4"/>
                <w:sz w:val="21"/>
              </w:rPr>
              <w:t xml:space="preserve">本轮排查数量 </w:t>
            </w:r>
            <w:r>
              <w:rPr>
                <w:rFonts w:ascii="Times New Roman" w:eastAsia="Times New Roman"/>
                <w:spacing w:val="-4"/>
                <w:sz w:val="21"/>
              </w:rPr>
              <w:t>(</w:t>
            </w:r>
            <w:r>
              <w:rPr>
                <w:spacing w:val="-4"/>
                <w:sz w:val="21"/>
              </w:rPr>
              <w:t>栋</w:t>
            </w:r>
            <w:r>
              <w:rPr>
                <w:rFonts w:ascii="Times New Roman" w:eastAsia="Times New Roman"/>
                <w:spacing w:val="-4"/>
                <w:sz w:val="21"/>
              </w:rPr>
              <w:t>)</w:t>
            </w:r>
          </w:p>
        </w:tc>
        <w:tc>
          <w:tcPr>
            <w:tcW w:w="983" w:type="dxa"/>
            <w:tcBorders>
              <w:bottom w:val="nil"/>
            </w:tcBorders>
          </w:tcPr>
          <w:p w14:paraId="5FFE2481">
            <w:pPr>
              <w:pStyle w:val="7"/>
              <w:spacing w:before="102" w:line="230" w:lineRule="exact"/>
              <w:ind w:left="175"/>
              <w:rPr>
                <w:sz w:val="21"/>
              </w:rPr>
            </w:pPr>
            <w:r>
              <w:rPr>
                <w:spacing w:val="-4"/>
                <w:w w:val="95"/>
                <w:sz w:val="21"/>
              </w:rPr>
              <w:t>新增安</w:t>
            </w:r>
          </w:p>
        </w:tc>
        <w:tc>
          <w:tcPr>
            <w:tcW w:w="983" w:type="dxa"/>
            <w:vMerge w:val="restart"/>
          </w:tcPr>
          <w:p w14:paraId="371CD4BA">
            <w:pPr>
              <w:pStyle w:val="7"/>
              <w:spacing w:line="240" w:lineRule="exact"/>
              <w:ind w:left="176" w:right="165"/>
              <w:jc w:val="center"/>
              <w:rPr>
                <w:rFonts w:ascii="Times New Roman" w:eastAsia="Times New Roman"/>
                <w:sz w:val="21"/>
              </w:rPr>
            </w:pPr>
            <w:r>
              <w:rPr>
                <w:spacing w:val="-4"/>
                <w:sz w:val="21"/>
              </w:rPr>
              <w:t xml:space="preserve">其中严重安全隐患房屋数量 </w:t>
            </w:r>
            <w:r>
              <w:rPr>
                <w:rFonts w:ascii="Times New Roman" w:eastAsia="Times New Roman"/>
                <w:spacing w:val="-4"/>
                <w:sz w:val="21"/>
              </w:rPr>
              <w:t>(</w:t>
            </w:r>
            <w:r>
              <w:rPr>
                <w:spacing w:val="-4"/>
                <w:sz w:val="21"/>
              </w:rPr>
              <w:t>栋</w:t>
            </w:r>
            <w:r>
              <w:rPr>
                <w:rFonts w:ascii="Times New Roman" w:eastAsia="Times New Roman"/>
                <w:spacing w:val="-4"/>
                <w:sz w:val="21"/>
              </w:rPr>
              <w:t>)</w:t>
            </w:r>
          </w:p>
        </w:tc>
        <w:tc>
          <w:tcPr>
            <w:tcW w:w="984" w:type="dxa"/>
            <w:tcBorders>
              <w:bottom w:val="nil"/>
            </w:tcBorders>
          </w:tcPr>
          <w:p w14:paraId="2713DB55">
            <w:pPr>
              <w:pStyle w:val="7"/>
              <w:rPr>
                <w:rFonts w:ascii="Times New Roman"/>
                <w:sz w:val="20"/>
              </w:rPr>
            </w:pPr>
          </w:p>
        </w:tc>
        <w:tc>
          <w:tcPr>
            <w:tcW w:w="984" w:type="dxa"/>
            <w:tcBorders>
              <w:bottom w:val="nil"/>
            </w:tcBorders>
          </w:tcPr>
          <w:p w14:paraId="6D8B2C23">
            <w:pPr>
              <w:pStyle w:val="7"/>
              <w:spacing w:before="102" w:line="230" w:lineRule="exact"/>
              <w:ind w:left="174" w:right="165"/>
              <w:jc w:val="center"/>
              <w:rPr>
                <w:sz w:val="21"/>
              </w:rPr>
            </w:pPr>
            <w:r>
              <w:rPr>
                <w:spacing w:val="-4"/>
                <w:w w:val="95"/>
                <w:sz w:val="21"/>
              </w:rPr>
              <w:t>新增安</w:t>
            </w:r>
          </w:p>
        </w:tc>
        <w:tc>
          <w:tcPr>
            <w:tcW w:w="984" w:type="dxa"/>
            <w:vMerge w:val="restart"/>
          </w:tcPr>
          <w:p w14:paraId="6B2B04EE">
            <w:pPr>
              <w:pStyle w:val="7"/>
              <w:spacing w:line="240" w:lineRule="exact"/>
              <w:ind w:left="177" w:right="165"/>
              <w:jc w:val="center"/>
              <w:rPr>
                <w:rFonts w:ascii="Times New Roman" w:eastAsia="Times New Roman"/>
                <w:sz w:val="21"/>
              </w:rPr>
            </w:pPr>
            <w:r>
              <w:rPr>
                <w:spacing w:val="-4"/>
                <w:sz w:val="21"/>
              </w:rPr>
              <w:t xml:space="preserve">其中严重安全隐患房屋数量 </w:t>
            </w:r>
            <w:r>
              <w:rPr>
                <w:rFonts w:ascii="Times New Roman" w:eastAsia="Times New Roman"/>
                <w:spacing w:val="-4"/>
                <w:sz w:val="21"/>
              </w:rPr>
              <w:t>(</w:t>
            </w:r>
            <w:r>
              <w:rPr>
                <w:spacing w:val="-4"/>
                <w:sz w:val="21"/>
              </w:rPr>
              <w:t>栋</w:t>
            </w:r>
            <w:r>
              <w:rPr>
                <w:rFonts w:ascii="Times New Roman" w:eastAsia="Times New Roman"/>
                <w:spacing w:val="-4"/>
                <w:sz w:val="21"/>
              </w:rPr>
              <w:t>)</w:t>
            </w:r>
          </w:p>
        </w:tc>
        <w:tc>
          <w:tcPr>
            <w:tcW w:w="984" w:type="dxa"/>
            <w:tcBorders>
              <w:bottom w:val="nil"/>
            </w:tcBorders>
          </w:tcPr>
          <w:p w14:paraId="61492599">
            <w:pPr>
              <w:pStyle w:val="7"/>
              <w:rPr>
                <w:rFonts w:ascii="Times New Roman"/>
                <w:sz w:val="20"/>
              </w:rPr>
            </w:pPr>
          </w:p>
        </w:tc>
        <w:tc>
          <w:tcPr>
            <w:tcW w:w="1107" w:type="dxa"/>
            <w:vMerge w:val="restart"/>
          </w:tcPr>
          <w:p w14:paraId="18D66C9F">
            <w:pPr>
              <w:pStyle w:val="7"/>
              <w:spacing w:before="3"/>
              <w:rPr>
                <w:rFonts w:ascii="Times New Roman"/>
                <w:sz w:val="21"/>
              </w:rPr>
            </w:pPr>
          </w:p>
          <w:p w14:paraId="4E5ADFB2">
            <w:pPr>
              <w:pStyle w:val="7"/>
              <w:spacing w:before="1" w:line="213" w:lineRule="auto"/>
              <w:ind w:left="131" w:right="125"/>
              <w:jc w:val="both"/>
              <w:rPr>
                <w:rFonts w:ascii="Times New Roman" w:eastAsia="Times New Roman"/>
                <w:sz w:val="21"/>
              </w:rPr>
            </w:pPr>
            <w:r>
              <w:rPr>
                <w:spacing w:val="-4"/>
                <w:sz w:val="21"/>
              </w:rPr>
              <w:t>新增安全隐患房屋</w:t>
            </w:r>
            <w:r>
              <w:rPr>
                <w:spacing w:val="-2"/>
                <w:sz w:val="21"/>
              </w:rPr>
              <w:t>数量</w:t>
            </w:r>
            <w:r>
              <w:rPr>
                <w:rFonts w:ascii="Times New Roman" w:eastAsia="Times New Roman"/>
                <w:spacing w:val="-2"/>
                <w:sz w:val="21"/>
              </w:rPr>
              <w:t>(</w:t>
            </w:r>
            <w:r>
              <w:rPr>
                <w:spacing w:val="-2"/>
                <w:sz w:val="21"/>
              </w:rPr>
              <w:t>栋</w:t>
            </w:r>
            <w:r>
              <w:rPr>
                <w:rFonts w:ascii="Times New Roman" w:eastAsia="Times New Roman"/>
                <w:spacing w:val="-2"/>
                <w:sz w:val="21"/>
              </w:rPr>
              <w:t>)</w:t>
            </w:r>
          </w:p>
        </w:tc>
        <w:tc>
          <w:tcPr>
            <w:tcW w:w="1112" w:type="dxa"/>
            <w:tcBorders>
              <w:bottom w:val="nil"/>
            </w:tcBorders>
          </w:tcPr>
          <w:p w14:paraId="4F974652">
            <w:pPr>
              <w:pStyle w:val="7"/>
              <w:spacing w:before="102" w:line="230" w:lineRule="exact"/>
              <w:ind w:left="141" w:right="134"/>
              <w:jc w:val="center"/>
              <w:rPr>
                <w:sz w:val="21"/>
              </w:rPr>
            </w:pPr>
            <w:r>
              <w:rPr>
                <w:spacing w:val="-3"/>
                <w:w w:val="95"/>
                <w:sz w:val="21"/>
              </w:rPr>
              <w:t>其中严重</w:t>
            </w:r>
          </w:p>
        </w:tc>
        <w:tc>
          <w:tcPr>
            <w:tcW w:w="733" w:type="dxa"/>
            <w:vMerge w:val="restart"/>
          </w:tcPr>
          <w:p w14:paraId="45934C5E">
            <w:pPr>
              <w:pStyle w:val="7"/>
              <w:spacing w:before="3"/>
              <w:rPr>
                <w:rFonts w:ascii="Times New Roman"/>
                <w:sz w:val="21"/>
              </w:rPr>
            </w:pPr>
          </w:p>
          <w:p w14:paraId="1791CFF7">
            <w:pPr>
              <w:pStyle w:val="7"/>
              <w:spacing w:before="1" w:line="213" w:lineRule="auto"/>
              <w:ind w:left="156" w:right="146"/>
              <w:jc w:val="both"/>
              <w:rPr>
                <w:rFonts w:ascii="Times New Roman" w:eastAsia="Times New Roman"/>
                <w:sz w:val="21"/>
              </w:rPr>
            </w:pPr>
            <w:r>
              <w:rPr>
                <w:spacing w:val="-6"/>
                <w:sz w:val="21"/>
              </w:rPr>
              <w:t xml:space="preserve">排查数量 </w:t>
            </w:r>
            <w:r>
              <w:rPr>
                <w:rFonts w:ascii="Times New Roman" w:eastAsia="Times New Roman"/>
                <w:spacing w:val="-4"/>
                <w:sz w:val="21"/>
              </w:rPr>
              <w:t>(</w:t>
            </w:r>
            <w:r>
              <w:rPr>
                <w:spacing w:val="-4"/>
                <w:sz w:val="21"/>
              </w:rPr>
              <w:t>栋</w:t>
            </w:r>
            <w:r>
              <w:rPr>
                <w:rFonts w:ascii="Times New Roman" w:eastAsia="Times New Roman"/>
                <w:spacing w:val="-4"/>
                <w:sz w:val="21"/>
              </w:rPr>
              <w:t>)</w:t>
            </w:r>
          </w:p>
        </w:tc>
        <w:tc>
          <w:tcPr>
            <w:tcW w:w="984" w:type="dxa"/>
            <w:tcBorders>
              <w:bottom w:val="nil"/>
            </w:tcBorders>
          </w:tcPr>
          <w:p w14:paraId="7D7F8614">
            <w:pPr>
              <w:pStyle w:val="7"/>
              <w:spacing w:before="102" w:line="230" w:lineRule="exact"/>
              <w:ind w:left="174" w:right="165"/>
              <w:jc w:val="center"/>
              <w:rPr>
                <w:sz w:val="21"/>
              </w:rPr>
            </w:pPr>
            <w:r>
              <w:rPr>
                <w:spacing w:val="-4"/>
                <w:w w:val="95"/>
                <w:sz w:val="21"/>
              </w:rPr>
              <w:t>新增安</w:t>
            </w:r>
          </w:p>
        </w:tc>
        <w:tc>
          <w:tcPr>
            <w:tcW w:w="984" w:type="dxa"/>
            <w:vMerge w:val="restart"/>
          </w:tcPr>
          <w:p w14:paraId="5CCCC2BF">
            <w:pPr>
              <w:pStyle w:val="7"/>
              <w:spacing w:line="240" w:lineRule="exact"/>
              <w:ind w:left="177" w:right="165"/>
              <w:jc w:val="center"/>
              <w:rPr>
                <w:rFonts w:ascii="Times New Roman" w:eastAsia="Times New Roman"/>
                <w:sz w:val="21"/>
              </w:rPr>
            </w:pPr>
            <w:r>
              <w:rPr>
                <w:spacing w:val="-4"/>
                <w:sz w:val="21"/>
              </w:rPr>
              <w:t xml:space="preserve">其中严重安全隐患房屋数量 </w:t>
            </w:r>
            <w:r>
              <w:rPr>
                <w:rFonts w:ascii="Times New Roman" w:eastAsia="Times New Roman"/>
                <w:spacing w:val="-4"/>
                <w:sz w:val="21"/>
              </w:rPr>
              <w:t>(</w:t>
            </w:r>
            <w:r>
              <w:rPr>
                <w:spacing w:val="-4"/>
                <w:sz w:val="21"/>
              </w:rPr>
              <w:t>栋</w:t>
            </w:r>
            <w:r>
              <w:rPr>
                <w:rFonts w:ascii="Times New Roman" w:eastAsia="Times New Roman"/>
                <w:spacing w:val="-4"/>
                <w:sz w:val="21"/>
              </w:rPr>
              <w:t>)</w:t>
            </w:r>
          </w:p>
        </w:tc>
        <w:tc>
          <w:tcPr>
            <w:tcW w:w="888" w:type="dxa"/>
            <w:vMerge w:val="restart"/>
          </w:tcPr>
          <w:p w14:paraId="70C87542">
            <w:pPr>
              <w:pStyle w:val="7"/>
              <w:spacing w:before="3"/>
              <w:rPr>
                <w:rFonts w:ascii="Times New Roman"/>
                <w:sz w:val="21"/>
              </w:rPr>
            </w:pPr>
          </w:p>
          <w:p w14:paraId="485AD2B3">
            <w:pPr>
              <w:pStyle w:val="7"/>
              <w:spacing w:before="1" w:line="213" w:lineRule="auto"/>
              <w:ind w:left="129" w:right="117"/>
              <w:rPr>
                <w:sz w:val="21"/>
              </w:rPr>
            </w:pPr>
            <w:r>
              <w:rPr>
                <w:spacing w:val="-4"/>
                <w:sz w:val="21"/>
              </w:rPr>
              <w:t>录入平</w:t>
            </w:r>
            <w:r>
              <w:rPr>
                <w:spacing w:val="-4"/>
                <w:w w:val="95"/>
                <w:sz w:val="21"/>
              </w:rPr>
              <w:t>台数量</w:t>
            </w:r>
          </w:p>
          <w:p w14:paraId="515D0FCA">
            <w:pPr>
              <w:pStyle w:val="7"/>
              <w:spacing w:line="247" w:lineRule="exact"/>
              <w:ind w:left="129"/>
              <w:rPr>
                <w:sz w:val="21"/>
              </w:rPr>
            </w:pPr>
            <w:r>
              <w:rPr>
                <w:w w:val="95"/>
                <w:sz w:val="21"/>
              </w:rPr>
              <w:t>（栋</w:t>
            </w:r>
            <w:r>
              <w:rPr>
                <w:spacing w:val="-10"/>
                <w:w w:val="95"/>
                <w:sz w:val="21"/>
              </w:rPr>
              <w:t>）</w:t>
            </w:r>
          </w:p>
        </w:tc>
      </w:tr>
      <w:tr w14:paraId="22727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732" w:type="dxa"/>
            <w:tcBorders>
              <w:top w:val="nil"/>
              <w:bottom w:val="nil"/>
            </w:tcBorders>
          </w:tcPr>
          <w:p w14:paraId="7F7AF742">
            <w:pPr>
              <w:pStyle w:val="7"/>
              <w:rPr>
                <w:rFonts w:ascii="Times New Roman"/>
                <w:sz w:val="16"/>
              </w:rPr>
            </w:pPr>
          </w:p>
        </w:tc>
        <w:tc>
          <w:tcPr>
            <w:tcW w:w="863" w:type="dxa"/>
            <w:tcBorders>
              <w:top w:val="nil"/>
              <w:bottom w:val="nil"/>
            </w:tcBorders>
          </w:tcPr>
          <w:p w14:paraId="5BF3DB41">
            <w:pPr>
              <w:pStyle w:val="7"/>
              <w:spacing w:line="207" w:lineRule="exact"/>
              <w:ind w:left="117" w:right="108"/>
              <w:jc w:val="center"/>
              <w:rPr>
                <w:sz w:val="21"/>
              </w:rPr>
            </w:pPr>
            <w:r>
              <w:rPr>
                <w:spacing w:val="-4"/>
                <w:w w:val="95"/>
                <w:sz w:val="21"/>
              </w:rPr>
              <w:t>自建房</w:t>
            </w:r>
          </w:p>
        </w:tc>
        <w:tc>
          <w:tcPr>
            <w:tcW w:w="869" w:type="dxa"/>
            <w:vMerge w:val="continue"/>
            <w:tcBorders>
              <w:top w:val="nil"/>
            </w:tcBorders>
          </w:tcPr>
          <w:p w14:paraId="3C59F714">
            <w:pPr>
              <w:rPr>
                <w:sz w:val="2"/>
                <w:szCs w:val="2"/>
              </w:rPr>
            </w:pPr>
          </w:p>
        </w:tc>
        <w:tc>
          <w:tcPr>
            <w:tcW w:w="983" w:type="dxa"/>
            <w:tcBorders>
              <w:top w:val="nil"/>
              <w:bottom w:val="nil"/>
            </w:tcBorders>
          </w:tcPr>
          <w:p w14:paraId="79A04F98">
            <w:pPr>
              <w:pStyle w:val="7"/>
              <w:spacing w:line="207" w:lineRule="exact"/>
              <w:ind w:left="175"/>
              <w:rPr>
                <w:sz w:val="21"/>
              </w:rPr>
            </w:pPr>
            <w:r>
              <w:rPr>
                <w:spacing w:val="-4"/>
                <w:w w:val="95"/>
                <w:sz w:val="21"/>
              </w:rPr>
              <w:t>全隐患</w:t>
            </w:r>
          </w:p>
        </w:tc>
        <w:tc>
          <w:tcPr>
            <w:tcW w:w="983" w:type="dxa"/>
            <w:vMerge w:val="continue"/>
            <w:tcBorders>
              <w:top w:val="nil"/>
            </w:tcBorders>
          </w:tcPr>
          <w:p w14:paraId="42BB1572">
            <w:pPr>
              <w:rPr>
                <w:sz w:val="2"/>
                <w:szCs w:val="2"/>
              </w:rPr>
            </w:pPr>
          </w:p>
        </w:tc>
        <w:tc>
          <w:tcPr>
            <w:tcW w:w="984" w:type="dxa"/>
            <w:tcBorders>
              <w:top w:val="nil"/>
              <w:bottom w:val="nil"/>
            </w:tcBorders>
          </w:tcPr>
          <w:p w14:paraId="58ED8832">
            <w:pPr>
              <w:pStyle w:val="7"/>
              <w:spacing w:line="207" w:lineRule="exact"/>
              <w:ind w:left="177"/>
              <w:rPr>
                <w:sz w:val="21"/>
              </w:rPr>
            </w:pPr>
            <w:r>
              <w:rPr>
                <w:spacing w:val="-4"/>
                <w:w w:val="95"/>
                <w:sz w:val="21"/>
              </w:rPr>
              <w:t>排查数</w:t>
            </w:r>
          </w:p>
        </w:tc>
        <w:tc>
          <w:tcPr>
            <w:tcW w:w="984" w:type="dxa"/>
            <w:tcBorders>
              <w:top w:val="nil"/>
              <w:bottom w:val="nil"/>
            </w:tcBorders>
          </w:tcPr>
          <w:p w14:paraId="3E41CF66">
            <w:pPr>
              <w:pStyle w:val="7"/>
              <w:spacing w:line="207" w:lineRule="exact"/>
              <w:ind w:left="174" w:right="165"/>
              <w:jc w:val="center"/>
              <w:rPr>
                <w:sz w:val="21"/>
              </w:rPr>
            </w:pPr>
            <w:r>
              <w:rPr>
                <w:spacing w:val="-4"/>
                <w:w w:val="95"/>
                <w:sz w:val="21"/>
              </w:rPr>
              <w:t>全隐患</w:t>
            </w:r>
          </w:p>
        </w:tc>
        <w:tc>
          <w:tcPr>
            <w:tcW w:w="984" w:type="dxa"/>
            <w:vMerge w:val="continue"/>
            <w:tcBorders>
              <w:top w:val="nil"/>
            </w:tcBorders>
          </w:tcPr>
          <w:p w14:paraId="5CCE5187">
            <w:pPr>
              <w:rPr>
                <w:sz w:val="2"/>
                <w:szCs w:val="2"/>
              </w:rPr>
            </w:pPr>
          </w:p>
        </w:tc>
        <w:tc>
          <w:tcPr>
            <w:tcW w:w="984" w:type="dxa"/>
            <w:tcBorders>
              <w:top w:val="nil"/>
              <w:bottom w:val="nil"/>
            </w:tcBorders>
          </w:tcPr>
          <w:p w14:paraId="1DD4BFE8">
            <w:pPr>
              <w:pStyle w:val="7"/>
              <w:spacing w:line="207" w:lineRule="exact"/>
              <w:ind w:left="177"/>
              <w:rPr>
                <w:sz w:val="21"/>
              </w:rPr>
            </w:pPr>
            <w:r>
              <w:rPr>
                <w:spacing w:val="-4"/>
                <w:w w:val="95"/>
                <w:sz w:val="21"/>
              </w:rPr>
              <w:t>排查数</w:t>
            </w:r>
          </w:p>
        </w:tc>
        <w:tc>
          <w:tcPr>
            <w:tcW w:w="1107" w:type="dxa"/>
            <w:vMerge w:val="continue"/>
            <w:tcBorders>
              <w:top w:val="nil"/>
            </w:tcBorders>
          </w:tcPr>
          <w:p w14:paraId="2535C4DA">
            <w:pPr>
              <w:rPr>
                <w:sz w:val="2"/>
                <w:szCs w:val="2"/>
              </w:rPr>
            </w:pPr>
          </w:p>
        </w:tc>
        <w:tc>
          <w:tcPr>
            <w:tcW w:w="1112" w:type="dxa"/>
            <w:tcBorders>
              <w:top w:val="nil"/>
              <w:bottom w:val="nil"/>
            </w:tcBorders>
          </w:tcPr>
          <w:p w14:paraId="72F4FDA3">
            <w:pPr>
              <w:pStyle w:val="7"/>
              <w:spacing w:line="207" w:lineRule="exact"/>
              <w:ind w:left="141" w:right="134"/>
              <w:jc w:val="center"/>
              <w:rPr>
                <w:sz w:val="21"/>
              </w:rPr>
            </w:pPr>
            <w:r>
              <w:rPr>
                <w:spacing w:val="-3"/>
                <w:w w:val="95"/>
                <w:sz w:val="21"/>
              </w:rPr>
              <w:t>安全隐患</w:t>
            </w:r>
          </w:p>
        </w:tc>
        <w:tc>
          <w:tcPr>
            <w:tcW w:w="733" w:type="dxa"/>
            <w:vMerge w:val="continue"/>
            <w:tcBorders>
              <w:top w:val="nil"/>
            </w:tcBorders>
          </w:tcPr>
          <w:p w14:paraId="167ADAA5">
            <w:pPr>
              <w:rPr>
                <w:sz w:val="2"/>
                <w:szCs w:val="2"/>
              </w:rPr>
            </w:pPr>
          </w:p>
        </w:tc>
        <w:tc>
          <w:tcPr>
            <w:tcW w:w="984" w:type="dxa"/>
            <w:tcBorders>
              <w:top w:val="nil"/>
              <w:bottom w:val="nil"/>
            </w:tcBorders>
          </w:tcPr>
          <w:p w14:paraId="2BBD2D9C">
            <w:pPr>
              <w:pStyle w:val="7"/>
              <w:spacing w:line="207" w:lineRule="exact"/>
              <w:ind w:left="174" w:right="165"/>
              <w:jc w:val="center"/>
              <w:rPr>
                <w:sz w:val="21"/>
              </w:rPr>
            </w:pPr>
            <w:r>
              <w:rPr>
                <w:spacing w:val="-4"/>
                <w:w w:val="95"/>
                <w:sz w:val="21"/>
              </w:rPr>
              <w:t>全隐患</w:t>
            </w:r>
          </w:p>
        </w:tc>
        <w:tc>
          <w:tcPr>
            <w:tcW w:w="984" w:type="dxa"/>
            <w:vMerge w:val="continue"/>
            <w:tcBorders>
              <w:top w:val="nil"/>
            </w:tcBorders>
          </w:tcPr>
          <w:p w14:paraId="452B2863">
            <w:pPr>
              <w:rPr>
                <w:sz w:val="2"/>
                <w:szCs w:val="2"/>
              </w:rPr>
            </w:pPr>
          </w:p>
        </w:tc>
        <w:tc>
          <w:tcPr>
            <w:tcW w:w="888" w:type="dxa"/>
            <w:vMerge w:val="continue"/>
            <w:tcBorders>
              <w:top w:val="nil"/>
            </w:tcBorders>
          </w:tcPr>
          <w:p w14:paraId="1F1F7B28">
            <w:pPr>
              <w:rPr>
                <w:sz w:val="2"/>
                <w:szCs w:val="2"/>
              </w:rPr>
            </w:pPr>
          </w:p>
        </w:tc>
      </w:tr>
      <w:tr w14:paraId="2AA67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732" w:type="dxa"/>
            <w:tcBorders>
              <w:top w:val="nil"/>
              <w:bottom w:val="nil"/>
            </w:tcBorders>
          </w:tcPr>
          <w:p w14:paraId="60AA2B29">
            <w:pPr>
              <w:pStyle w:val="7"/>
              <w:rPr>
                <w:rFonts w:ascii="Times New Roman"/>
                <w:sz w:val="16"/>
              </w:rPr>
            </w:pPr>
          </w:p>
        </w:tc>
        <w:tc>
          <w:tcPr>
            <w:tcW w:w="863" w:type="dxa"/>
            <w:tcBorders>
              <w:top w:val="nil"/>
              <w:bottom w:val="nil"/>
            </w:tcBorders>
          </w:tcPr>
          <w:p w14:paraId="185F0761">
            <w:pPr>
              <w:pStyle w:val="7"/>
              <w:spacing w:line="218" w:lineRule="exact"/>
              <w:ind w:left="112" w:right="108"/>
              <w:jc w:val="center"/>
              <w:rPr>
                <w:sz w:val="21"/>
              </w:rPr>
            </w:pPr>
            <w:r>
              <w:rPr>
                <w:w w:val="95"/>
                <w:sz w:val="21"/>
              </w:rPr>
              <w:t>总</w:t>
            </w:r>
            <w:r>
              <w:rPr>
                <w:spacing w:val="-10"/>
                <w:sz w:val="21"/>
              </w:rPr>
              <w:t>量</w:t>
            </w:r>
          </w:p>
        </w:tc>
        <w:tc>
          <w:tcPr>
            <w:tcW w:w="869" w:type="dxa"/>
            <w:vMerge w:val="continue"/>
            <w:tcBorders>
              <w:top w:val="nil"/>
            </w:tcBorders>
          </w:tcPr>
          <w:p w14:paraId="626B80C0">
            <w:pPr>
              <w:rPr>
                <w:sz w:val="2"/>
                <w:szCs w:val="2"/>
              </w:rPr>
            </w:pPr>
          </w:p>
        </w:tc>
        <w:tc>
          <w:tcPr>
            <w:tcW w:w="983" w:type="dxa"/>
            <w:tcBorders>
              <w:top w:val="nil"/>
              <w:bottom w:val="nil"/>
            </w:tcBorders>
          </w:tcPr>
          <w:p w14:paraId="08EB0D36">
            <w:pPr>
              <w:pStyle w:val="7"/>
              <w:spacing w:line="218" w:lineRule="exact"/>
              <w:ind w:left="175"/>
              <w:rPr>
                <w:sz w:val="21"/>
              </w:rPr>
            </w:pPr>
            <w:r>
              <w:rPr>
                <w:spacing w:val="-4"/>
                <w:w w:val="95"/>
                <w:sz w:val="21"/>
              </w:rPr>
              <w:t>房屋数</w:t>
            </w:r>
          </w:p>
        </w:tc>
        <w:tc>
          <w:tcPr>
            <w:tcW w:w="983" w:type="dxa"/>
            <w:vMerge w:val="continue"/>
            <w:tcBorders>
              <w:top w:val="nil"/>
            </w:tcBorders>
          </w:tcPr>
          <w:p w14:paraId="107BD58F">
            <w:pPr>
              <w:rPr>
                <w:sz w:val="2"/>
                <w:szCs w:val="2"/>
              </w:rPr>
            </w:pPr>
          </w:p>
        </w:tc>
        <w:tc>
          <w:tcPr>
            <w:tcW w:w="984" w:type="dxa"/>
            <w:tcBorders>
              <w:top w:val="nil"/>
              <w:bottom w:val="nil"/>
            </w:tcBorders>
          </w:tcPr>
          <w:p w14:paraId="7C8B9512">
            <w:pPr>
              <w:pStyle w:val="7"/>
              <w:spacing w:line="218" w:lineRule="exact"/>
              <w:ind w:left="210"/>
              <w:rPr>
                <w:rFonts w:ascii="Times New Roman" w:eastAsia="Times New Roman"/>
                <w:sz w:val="21"/>
              </w:rPr>
            </w:pPr>
            <w:r>
              <w:rPr>
                <w:w w:val="95"/>
                <w:sz w:val="21"/>
              </w:rPr>
              <w:t>量</w:t>
            </w:r>
            <w:r>
              <w:rPr>
                <w:rFonts w:ascii="Times New Roman" w:eastAsia="Times New Roman"/>
                <w:w w:val="95"/>
                <w:sz w:val="21"/>
              </w:rPr>
              <w:t>(</w:t>
            </w:r>
            <w:r>
              <w:rPr>
                <w:w w:val="95"/>
                <w:sz w:val="21"/>
              </w:rPr>
              <w:t>栋</w:t>
            </w:r>
            <w:r>
              <w:rPr>
                <w:rFonts w:ascii="Times New Roman" w:eastAsia="Times New Roman"/>
                <w:spacing w:val="-10"/>
                <w:w w:val="95"/>
                <w:sz w:val="21"/>
              </w:rPr>
              <w:t>)</w:t>
            </w:r>
          </w:p>
        </w:tc>
        <w:tc>
          <w:tcPr>
            <w:tcW w:w="984" w:type="dxa"/>
            <w:tcBorders>
              <w:top w:val="nil"/>
              <w:bottom w:val="nil"/>
            </w:tcBorders>
          </w:tcPr>
          <w:p w14:paraId="061B27B3">
            <w:pPr>
              <w:pStyle w:val="7"/>
              <w:spacing w:line="218" w:lineRule="exact"/>
              <w:ind w:left="174" w:right="165"/>
              <w:jc w:val="center"/>
              <w:rPr>
                <w:sz w:val="21"/>
              </w:rPr>
            </w:pPr>
            <w:r>
              <w:rPr>
                <w:spacing w:val="-4"/>
                <w:w w:val="95"/>
                <w:sz w:val="21"/>
              </w:rPr>
              <w:t>房屋数</w:t>
            </w:r>
          </w:p>
        </w:tc>
        <w:tc>
          <w:tcPr>
            <w:tcW w:w="984" w:type="dxa"/>
            <w:vMerge w:val="continue"/>
            <w:tcBorders>
              <w:top w:val="nil"/>
            </w:tcBorders>
          </w:tcPr>
          <w:p w14:paraId="5A71E431">
            <w:pPr>
              <w:rPr>
                <w:sz w:val="2"/>
                <w:szCs w:val="2"/>
              </w:rPr>
            </w:pPr>
          </w:p>
        </w:tc>
        <w:tc>
          <w:tcPr>
            <w:tcW w:w="984" w:type="dxa"/>
            <w:tcBorders>
              <w:top w:val="nil"/>
              <w:bottom w:val="nil"/>
            </w:tcBorders>
          </w:tcPr>
          <w:p w14:paraId="6B292A3D">
            <w:pPr>
              <w:pStyle w:val="7"/>
              <w:spacing w:line="218" w:lineRule="exact"/>
              <w:ind w:left="210"/>
              <w:rPr>
                <w:rFonts w:ascii="Times New Roman" w:eastAsia="Times New Roman"/>
                <w:sz w:val="21"/>
              </w:rPr>
            </w:pPr>
            <w:r>
              <w:rPr>
                <w:w w:val="95"/>
                <w:sz w:val="21"/>
              </w:rPr>
              <w:t>量</w:t>
            </w:r>
            <w:r>
              <w:rPr>
                <w:rFonts w:ascii="Times New Roman" w:eastAsia="Times New Roman"/>
                <w:w w:val="95"/>
                <w:sz w:val="21"/>
              </w:rPr>
              <w:t>(</w:t>
            </w:r>
            <w:r>
              <w:rPr>
                <w:w w:val="95"/>
                <w:sz w:val="21"/>
              </w:rPr>
              <w:t>栋</w:t>
            </w:r>
            <w:r>
              <w:rPr>
                <w:rFonts w:ascii="Times New Roman" w:eastAsia="Times New Roman"/>
                <w:spacing w:val="-10"/>
                <w:w w:val="95"/>
                <w:sz w:val="21"/>
              </w:rPr>
              <w:t>)</w:t>
            </w:r>
          </w:p>
        </w:tc>
        <w:tc>
          <w:tcPr>
            <w:tcW w:w="1107" w:type="dxa"/>
            <w:vMerge w:val="continue"/>
            <w:tcBorders>
              <w:top w:val="nil"/>
            </w:tcBorders>
          </w:tcPr>
          <w:p w14:paraId="617D56B1">
            <w:pPr>
              <w:rPr>
                <w:sz w:val="2"/>
                <w:szCs w:val="2"/>
              </w:rPr>
            </w:pPr>
          </w:p>
        </w:tc>
        <w:tc>
          <w:tcPr>
            <w:tcW w:w="1112" w:type="dxa"/>
            <w:tcBorders>
              <w:top w:val="nil"/>
              <w:bottom w:val="nil"/>
            </w:tcBorders>
          </w:tcPr>
          <w:p w14:paraId="27C35D98">
            <w:pPr>
              <w:pStyle w:val="7"/>
              <w:spacing w:line="218" w:lineRule="exact"/>
              <w:ind w:left="141" w:right="134"/>
              <w:jc w:val="center"/>
              <w:rPr>
                <w:sz w:val="21"/>
              </w:rPr>
            </w:pPr>
            <w:r>
              <w:rPr>
                <w:spacing w:val="-3"/>
                <w:w w:val="95"/>
                <w:sz w:val="21"/>
              </w:rPr>
              <w:t>房屋数量</w:t>
            </w:r>
          </w:p>
        </w:tc>
        <w:tc>
          <w:tcPr>
            <w:tcW w:w="733" w:type="dxa"/>
            <w:vMerge w:val="continue"/>
            <w:tcBorders>
              <w:top w:val="nil"/>
            </w:tcBorders>
          </w:tcPr>
          <w:p w14:paraId="23A3928E">
            <w:pPr>
              <w:rPr>
                <w:sz w:val="2"/>
                <w:szCs w:val="2"/>
              </w:rPr>
            </w:pPr>
          </w:p>
        </w:tc>
        <w:tc>
          <w:tcPr>
            <w:tcW w:w="984" w:type="dxa"/>
            <w:tcBorders>
              <w:top w:val="nil"/>
              <w:bottom w:val="nil"/>
            </w:tcBorders>
          </w:tcPr>
          <w:p w14:paraId="7D16BE47">
            <w:pPr>
              <w:pStyle w:val="7"/>
              <w:spacing w:line="218" w:lineRule="exact"/>
              <w:ind w:left="174" w:right="165"/>
              <w:jc w:val="center"/>
              <w:rPr>
                <w:sz w:val="21"/>
              </w:rPr>
            </w:pPr>
            <w:r>
              <w:rPr>
                <w:spacing w:val="-4"/>
                <w:w w:val="95"/>
                <w:sz w:val="21"/>
              </w:rPr>
              <w:t>房屋数</w:t>
            </w:r>
          </w:p>
        </w:tc>
        <w:tc>
          <w:tcPr>
            <w:tcW w:w="984" w:type="dxa"/>
            <w:vMerge w:val="continue"/>
            <w:tcBorders>
              <w:top w:val="nil"/>
            </w:tcBorders>
          </w:tcPr>
          <w:p w14:paraId="7DDCCDB8">
            <w:pPr>
              <w:rPr>
                <w:sz w:val="2"/>
                <w:szCs w:val="2"/>
              </w:rPr>
            </w:pPr>
          </w:p>
        </w:tc>
        <w:tc>
          <w:tcPr>
            <w:tcW w:w="888" w:type="dxa"/>
            <w:vMerge w:val="continue"/>
            <w:tcBorders>
              <w:top w:val="nil"/>
            </w:tcBorders>
          </w:tcPr>
          <w:p w14:paraId="619F1A9D">
            <w:pPr>
              <w:rPr>
                <w:sz w:val="2"/>
                <w:szCs w:val="2"/>
              </w:rPr>
            </w:pPr>
          </w:p>
        </w:tc>
      </w:tr>
      <w:tr w14:paraId="6F596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732" w:type="dxa"/>
            <w:tcBorders>
              <w:top w:val="nil"/>
            </w:tcBorders>
          </w:tcPr>
          <w:p w14:paraId="44264890">
            <w:pPr>
              <w:pStyle w:val="7"/>
              <w:rPr>
                <w:rFonts w:ascii="Times New Roman"/>
                <w:sz w:val="20"/>
              </w:rPr>
            </w:pPr>
          </w:p>
        </w:tc>
        <w:tc>
          <w:tcPr>
            <w:tcW w:w="863" w:type="dxa"/>
            <w:tcBorders>
              <w:top w:val="nil"/>
            </w:tcBorders>
          </w:tcPr>
          <w:p w14:paraId="4698A270">
            <w:pPr>
              <w:pStyle w:val="7"/>
              <w:spacing w:line="245" w:lineRule="exact"/>
              <w:ind w:left="114" w:right="108"/>
              <w:jc w:val="center"/>
              <w:rPr>
                <w:rFonts w:ascii="Times New Roman" w:eastAsia="Times New Roman"/>
                <w:sz w:val="21"/>
              </w:rPr>
            </w:pPr>
            <w:r>
              <w:rPr>
                <w:rFonts w:ascii="Times New Roman" w:eastAsia="Times New Roman"/>
                <w:w w:val="95"/>
                <w:sz w:val="21"/>
              </w:rPr>
              <w:t>(</w:t>
            </w:r>
            <w:r>
              <w:rPr>
                <w:w w:val="95"/>
                <w:sz w:val="21"/>
              </w:rPr>
              <w:t>栋</w:t>
            </w:r>
            <w:r>
              <w:rPr>
                <w:rFonts w:ascii="Times New Roman" w:eastAsia="Times New Roman"/>
                <w:spacing w:val="-10"/>
                <w:w w:val="95"/>
                <w:sz w:val="21"/>
              </w:rPr>
              <w:t>)</w:t>
            </w:r>
          </w:p>
        </w:tc>
        <w:tc>
          <w:tcPr>
            <w:tcW w:w="869" w:type="dxa"/>
            <w:vMerge w:val="continue"/>
            <w:tcBorders>
              <w:top w:val="nil"/>
            </w:tcBorders>
          </w:tcPr>
          <w:p w14:paraId="47A4F663">
            <w:pPr>
              <w:rPr>
                <w:sz w:val="2"/>
                <w:szCs w:val="2"/>
              </w:rPr>
            </w:pPr>
          </w:p>
        </w:tc>
        <w:tc>
          <w:tcPr>
            <w:tcW w:w="983" w:type="dxa"/>
            <w:tcBorders>
              <w:top w:val="nil"/>
            </w:tcBorders>
          </w:tcPr>
          <w:p w14:paraId="23A3AD24">
            <w:pPr>
              <w:pStyle w:val="7"/>
              <w:spacing w:line="245" w:lineRule="exact"/>
              <w:ind w:left="211"/>
              <w:rPr>
                <w:rFonts w:ascii="Times New Roman" w:eastAsia="Times New Roman"/>
                <w:sz w:val="21"/>
              </w:rPr>
            </w:pPr>
            <w:r>
              <w:rPr>
                <w:w w:val="95"/>
                <w:sz w:val="21"/>
              </w:rPr>
              <w:t>量</w:t>
            </w:r>
            <w:r>
              <w:rPr>
                <w:rFonts w:ascii="Times New Roman" w:eastAsia="Times New Roman"/>
                <w:w w:val="95"/>
                <w:sz w:val="21"/>
              </w:rPr>
              <w:t>(</w:t>
            </w:r>
            <w:r>
              <w:rPr>
                <w:w w:val="95"/>
                <w:sz w:val="21"/>
              </w:rPr>
              <w:t>栋</w:t>
            </w:r>
            <w:r>
              <w:rPr>
                <w:rFonts w:ascii="Times New Roman" w:eastAsia="Times New Roman"/>
                <w:spacing w:val="-10"/>
                <w:w w:val="95"/>
                <w:sz w:val="21"/>
              </w:rPr>
              <w:t>)</w:t>
            </w:r>
          </w:p>
        </w:tc>
        <w:tc>
          <w:tcPr>
            <w:tcW w:w="983" w:type="dxa"/>
            <w:vMerge w:val="continue"/>
            <w:tcBorders>
              <w:top w:val="nil"/>
            </w:tcBorders>
          </w:tcPr>
          <w:p w14:paraId="2BD8696A">
            <w:pPr>
              <w:rPr>
                <w:sz w:val="2"/>
                <w:szCs w:val="2"/>
              </w:rPr>
            </w:pPr>
          </w:p>
        </w:tc>
        <w:tc>
          <w:tcPr>
            <w:tcW w:w="984" w:type="dxa"/>
            <w:tcBorders>
              <w:top w:val="nil"/>
            </w:tcBorders>
          </w:tcPr>
          <w:p w14:paraId="1EC018B6">
            <w:pPr>
              <w:pStyle w:val="7"/>
              <w:rPr>
                <w:rFonts w:ascii="Times New Roman"/>
                <w:sz w:val="20"/>
              </w:rPr>
            </w:pPr>
          </w:p>
        </w:tc>
        <w:tc>
          <w:tcPr>
            <w:tcW w:w="984" w:type="dxa"/>
            <w:tcBorders>
              <w:top w:val="nil"/>
            </w:tcBorders>
          </w:tcPr>
          <w:p w14:paraId="7973719E">
            <w:pPr>
              <w:pStyle w:val="7"/>
              <w:spacing w:line="245" w:lineRule="exact"/>
              <w:ind w:left="171" w:right="165"/>
              <w:jc w:val="center"/>
              <w:rPr>
                <w:rFonts w:ascii="Times New Roman" w:eastAsia="Times New Roman"/>
                <w:sz w:val="21"/>
              </w:rPr>
            </w:pPr>
            <w:r>
              <w:rPr>
                <w:w w:val="95"/>
                <w:sz w:val="21"/>
              </w:rPr>
              <w:t>量</w:t>
            </w:r>
            <w:r>
              <w:rPr>
                <w:rFonts w:ascii="Times New Roman" w:eastAsia="Times New Roman"/>
                <w:w w:val="95"/>
                <w:sz w:val="21"/>
              </w:rPr>
              <w:t>(</w:t>
            </w:r>
            <w:r>
              <w:rPr>
                <w:w w:val="95"/>
                <w:sz w:val="21"/>
              </w:rPr>
              <w:t>栋</w:t>
            </w:r>
            <w:r>
              <w:rPr>
                <w:rFonts w:ascii="Times New Roman" w:eastAsia="Times New Roman"/>
                <w:spacing w:val="-10"/>
                <w:w w:val="95"/>
                <w:sz w:val="21"/>
              </w:rPr>
              <w:t>)</w:t>
            </w:r>
          </w:p>
        </w:tc>
        <w:tc>
          <w:tcPr>
            <w:tcW w:w="984" w:type="dxa"/>
            <w:vMerge w:val="continue"/>
            <w:tcBorders>
              <w:top w:val="nil"/>
            </w:tcBorders>
          </w:tcPr>
          <w:p w14:paraId="548C8029">
            <w:pPr>
              <w:rPr>
                <w:sz w:val="2"/>
                <w:szCs w:val="2"/>
              </w:rPr>
            </w:pPr>
          </w:p>
        </w:tc>
        <w:tc>
          <w:tcPr>
            <w:tcW w:w="984" w:type="dxa"/>
            <w:tcBorders>
              <w:top w:val="nil"/>
            </w:tcBorders>
          </w:tcPr>
          <w:p w14:paraId="23194B93">
            <w:pPr>
              <w:pStyle w:val="7"/>
              <w:rPr>
                <w:rFonts w:ascii="Times New Roman"/>
                <w:sz w:val="20"/>
              </w:rPr>
            </w:pPr>
          </w:p>
        </w:tc>
        <w:tc>
          <w:tcPr>
            <w:tcW w:w="1107" w:type="dxa"/>
            <w:vMerge w:val="continue"/>
            <w:tcBorders>
              <w:top w:val="nil"/>
            </w:tcBorders>
          </w:tcPr>
          <w:p w14:paraId="22DC9342">
            <w:pPr>
              <w:rPr>
                <w:sz w:val="2"/>
                <w:szCs w:val="2"/>
              </w:rPr>
            </w:pPr>
          </w:p>
        </w:tc>
        <w:tc>
          <w:tcPr>
            <w:tcW w:w="1112" w:type="dxa"/>
            <w:tcBorders>
              <w:top w:val="nil"/>
            </w:tcBorders>
          </w:tcPr>
          <w:p w14:paraId="5D17CA97">
            <w:pPr>
              <w:pStyle w:val="7"/>
              <w:spacing w:line="245" w:lineRule="exact"/>
              <w:ind w:left="141" w:right="134"/>
              <w:jc w:val="center"/>
              <w:rPr>
                <w:rFonts w:ascii="Times New Roman" w:eastAsia="Times New Roman"/>
                <w:sz w:val="21"/>
              </w:rPr>
            </w:pPr>
            <w:r>
              <w:rPr>
                <w:rFonts w:ascii="Times New Roman" w:eastAsia="Times New Roman"/>
                <w:w w:val="95"/>
                <w:sz w:val="21"/>
              </w:rPr>
              <w:t>(</w:t>
            </w:r>
            <w:r>
              <w:rPr>
                <w:w w:val="95"/>
                <w:sz w:val="21"/>
              </w:rPr>
              <w:t>栋</w:t>
            </w:r>
            <w:r>
              <w:rPr>
                <w:rFonts w:ascii="Times New Roman" w:eastAsia="Times New Roman"/>
                <w:spacing w:val="-10"/>
                <w:w w:val="95"/>
                <w:sz w:val="21"/>
              </w:rPr>
              <w:t>)</w:t>
            </w:r>
          </w:p>
        </w:tc>
        <w:tc>
          <w:tcPr>
            <w:tcW w:w="733" w:type="dxa"/>
            <w:vMerge w:val="continue"/>
            <w:tcBorders>
              <w:top w:val="nil"/>
            </w:tcBorders>
          </w:tcPr>
          <w:p w14:paraId="63300DDB">
            <w:pPr>
              <w:rPr>
                <w:sz w:val="2"/>
                <w:szCs w:val="2"/>
              </w:rPr>
            </w:pPr>
          </w:p>
        </w:tc>
        <w:tc>
          <w:tcPr>
            <w:tcW w:w="984" w:type="dxa"/>
            <w:tcBorders>
              <w:top w:val="nil"/>
            </w:tcBorders>
          </w:tcPr>
          <w:p w14:paraId="6E5ABCDA">
            <w:pPr>
              <w:pStyle w:val="7"/>
              <w:spacing w:line="245" w:lineRule="exact"/>
              <w:ind w:left="171" w:right="165"/>
              <w:jc w:val="center"/>
              <w:rPr>
                <w:rFonts w:ascii="Times New Roman" w:eastAsia="Times New Roman"/>
                <w:sz w:val="21"/>
              </w:rPr>
            </w:pPr>
            <w:r>
              <w:rPr>
                <w:w w:val="95"/>
                <w:sz w:val="21"/>
              </w:rPr>
              <w:t>量</w:t>
            </w:r>
            <w:r>
              <w:rPr>
                <w:rFonts w:ascii="Times New Roman" w:eastAsia="Times New Roman"/>
                <w:w w:val="95"/>
                <w:sz w:val="21"/>
              </w:rPr>
              <w:t>(</w:t>
            </w:r>
            <w:r>
              <w:rPr>
                <w:w w:val="95"/>
                <w:sz w:val="21"/>
              </w:rPr>
              <w:t>栋</w:t>
            </w:r>
            <w:r>
              <w:rPr>
                <w:rFonts w:ascii="Times New Roman" w:eastAsia="Times New Roman"/>
                <w:spacing w:val="-10"/>
                <w:w w:val="95"/>
                <w:sz w:val="21"/>
              </w:rPr>
              <w:t>)</w:t>
            </w:r>
          </w:p>
        </w:tc>
        <w:tc>
          <w:tcPr>
            <w:tcW w:w="984" w:type="dxa"/>
            <w:vMerge w:val="continue"/>
            <w:tcBorders>
              <w:top w:val="nil"/>
            </w:tcBorders>
          </w:tcPr>
          <w:p w14:paraId="0461BA7C">
            <w:pPr>
              <w:rPr>
                <w:sz w:val="2"/>
                <w:szCs w:val="2"/>
              </w:rPr>
            </w:pPr>
          </w:p>
        </w:tc>
        <w:tc>
          <w:tcPr>
            <w:tcW w:w="888" w:type="dxa"/>
            <w:vMerge w:val="continue"/>
            <w:tcBorders>
              <w:top w:val="nil"/>
            </w:tcBorders>
          </w:tcPr>
          <w:p w14:paraId="39EC7E5A">
            <w:pPr>
              <w:rPr>
                <w:sz w:val="2"/>
                <w:szCs w:val="2"/>
              </w:rPr>
            </w:pPr>
          </w:p>
        </w:tc>
      </w:tr>
      <w:tr w14:paraId="4596B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732" w:type="dxa"/>
          </w:tcPr>
          <w:p w14:paraId="093C4F2B">
            <w:pPr>
              <w:pStyle w:val="7"/>
              <w:rPr>
                <w:rFonts w:ascii="Times New Roman"/>
                <w:sz w:val="20"/>
              </w:rPr>
            </w:pPr>
          </w:p>
        </w:tc>
        <w:tc>
          <w:tcPr>
            <w:tcW w:w="863" w:type="dxa"/>
          </w:tcPr>
          <w:p w14:paraId="6153F8FA">
            <w:pPr>
              <w:pStyle w:val="7"/>
              <w:rPr>
                <w:rFonts w:ascii="Times New Roman"/>
                <w:sz w:val="20"/>
              </w:rPr>
            </w:pPr>
          </w:p>
        </w:tc>
        <w:tc>
          <w:tcPr>
            <w:tcW w:w="869" w:type="dxa"/>
          </w:tcPr>
          <w:p w14:paraId="5F515FAD">
            <w:pPr>
              <w:pStyle w:val="7"/>
              <w:rPr>
                <w:rFonts w:ascii="Times New Roman"/>
                <w:sz w:val="20"/>
              </w:rPr>
            </w:pPr>
          </w:p>
        </w:tc>
        <w:tc>
          <w:tcPr>
            <w:tcW w:w="983" w:type="dxa"/>
          </w:tcPr>
          <w:p w14:paraId="379AFE5A">
            <w:pPr>
              <w:pStyle w:val="7"/>
              <w:rPr>
                <w:rFonts w:ascii="Times New Roman"/>
                <w:sz w:val="20"/>
              </w:rPr>
            </w:pPr>
          </w:p>
        </w:tc>
        <w:tc>
          <w:tcPr>
            <w:tcW w:w="983" w:type="dxa"/>
          </w:tcPr>
          <w:p w14:paraId="56586CA9">
            <w:pPr>
              <w:pStyle w:val="7"/>
              <w:rPr>
                <w:rFonts w:ascii="Times New Roman"/>
                <w:sz w:val="20"/>
              </w:rPr>
            </w:pPr>
          </w:p>
        </w:tc>
        <w:tc>
          <w:tcPr>
            <w:tcW w:w="984" w:type="dxa"/>
          </w:tcPr>
          <w:p w14:paraId="57E90CD4">
            <w:pPr>
              <w:pStyle w:val="7"/>
              <w:rPr>
                <w:rFonts w:ascii="Times New Roman"/>
                <w:sz w:val="20"/>
              </w:rPr>
            </w:pPr>
          </w:p>
        </w:tc>
        <w:tc>
          <w:tcPr>
            <w:tcW w:w="984" w:type="dxa"/>
          </w:tcPr>
          <w:p w14:paraId="339B5B59">
            <w:pPr>
              <w:pStyle w:val="7"/>
              <w:rPr>
                <w:rFonts w:ascii="Times New Roman"/>
                <w:sz w:val="20"/>
              </w:rPr>
            </w:pPr>
          </w:p>
        </w:tc>
        <w:tc>
          <w:tcPr>
            <w:tcW w:w="984" w:type="dxa"/>
          </w:tcPr>
          <w:p w14:paraId="49CA2137">
            <w:pPr>
              <w:pStyle w:val="7"/>
              <w:rPr>
                <w:rFonts w:ascii="Times New Roman"/>
                <w:sz w:val="20"/>
              </w:rPr>
            </w:pPr>
          </w:p>
        </w:tc>
        <w:tc>
          <w:tcPr>
            <w:tcW w:w="984" w:type="dxa"/>
          </w:tcPr>
          <w:p w14:paraId="5180DCC7">
            <w:pPr>
              <w:pStyle w:val="7"/>
              <w:rPr>
                <w:rFonts w:ascii="Times New Roman"/>
                <w:sz w:val="20"/>
              </w:rPr>
            </w:pPr>
          </w:p>
        </w:tc>
        <w:tc>
          <w:tcPr>
            <w:tcW w:w="1107" w:type="dxa"/>
          </w:tcPr>
          <w:p w14:paraId="2F682393">
            <w:pPr>
              <w:pStyle w:val="7"/>
              <w:rPr>
                <w:rFonts w:ascii="Times New Roman"/>
                <w:sz w:val="20"/>
              </w:rPr>
            </w:pPr>
          </w:p>
        </w:tc>
        <w:tc>
          <w:tcPr>
            <w:tcW w:w="1112" w:type="dxa"/>
          </w:tcPr>
          <w:p w14:paraId="148A08EE">
            <w:pPr>
              <w:pStyle w:val="7"/>
              <w:rPr>
                <w:rFonts w:ascii="Times New Roman"/>
                <w:sz w:val="20"/>
              </w:rPr>
            </w:pPr>
          </w:p>
        </w:tc>
        <w:tc>
          <w:tcPr>
            <w:tcW w:w="733" w:type="dxa"/>
          </w:tcPr>
          <w:p w14:paraId="194FF332">
            <w:pPr>
              <w:pStyle w:val="7"/>
              <w:rPr>
                <w:rFonts w:ascii="Times New Roman"/>
                <w:sz w:val="20"/>
              </w:rPr>
            </w:pPr>
          </w:p>
        </w:tc>
        <w:tc>
          <w:tcPr>
            <w:tcW w:w="984" w:type="dxa"/>
          </w:tcPr>
          <w:p w14:paraId="78B72A4C">
            <w:pPr>
              <w:pStyle w:val="7"/>
              <w:rPr>
                <w:rFonts w:ascii="Times New Roman"/>
                <w:sz w:val="20"/>
              </w:rPr>
            </w:pPr>
          </w:p>
        </w:tc>
        <w:tc>
          <w:tcPr>
            <w:tcW w:w="984" w:type="dxa"/>
          </w:tcPr>
          <w:p w14:paraId="3DC4377F">
            <w:pPr>
              <w:pStyle w:val="7"/>
              <w:rPr>
                <w:rFonts w:ascii="Times New Roman"/>
                <w:sz w:val="20"/>
              </w:rPr>
            </w:pPr>
          </w:p>
        </w:tc>
        <w:tc>
          <w:tcPr>
            <w:tcW w:w="888" w:type="dxa"/>
          </w:tcPr>
          <w:p w14:paraId="379ABFCF">
            <w:pPr>
              <w:pStyle w:val="7"/>
              <w:rPr>
                <w:rFonts w:ascii="Times New Roman"/>
                <w:sz w:val="20"/>
              </w:rPr>
            </w:pPr>
          </w:p>
        </w:tc>
      </w:tr>
      <w:tr w14:paraId="7EDD0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732" w:type="dxa"/>
          </w:tcPr>
          <w:p w14:paraId="094E80FC">
            <w:pPr>
              <w:pStyle w:val="7"/>
              <w:rPr>
                <w:rFonts w:ascii="Times New Roman"/>
                <w:sz w:val="20"/>
              </w:rPr>
            </w:pPr>
          </w:p>
        </w:tc>
        <w:tc>
          <w:tcPr>
            <w:tcW w:w="863" w:type="dxa"/>
          </w:tcPr>
          <w:p w14:paraId="7BE4172D">
            <w:pPr>
              <w:pStyle w:val="7"/>
              <w:rPr>
                <w:rFonts w:ascii="Times New Roman"/>
                <w:sz w:val="20"/>
              </w:rPr>
            </w:pPr>
          </w:p>
        </w:tc>
        <w:tc>
          <w:tcPr>
            <w:tcW w:w="869" w:type="dxa"/>
          </w:tcPr>
          <w:p w14:paraId="77AB55F8">
            <w:pPr>
              <w:pStyle w:val="7"/>
              <w:rPr>
                <w:rFonts w:ascii="Times New Roman"/>
                <w:sz w:val="20"/>
              </w:rPr>
            </w:pPr>
          </w:p>
        </w:tc>
        <w:tc>
          <w:tcPr>
            <w:tcW w:w="983" w:type="dxa"/>
          </w:tcPr>
          <w:p w14:paraId="7CD79994">
            <w:pPr>
              <w:pStyle w:val="7"/>
              <w:rPr>
                <w:rFonts w:ascii="Times New Roman"/>
                <w:sz w:val="20"/>
              </w:rPr>
            </w:pPr>
          </w:p>
        </w:tc>
        <w:tc>
          <w:tcPr>
            <w:tcW w:w="983" w:type="dxa"/>
          </w:tcPr>
          <w:p w14:paraId="66F72B9A">
            <w:pPr>
              <w:pStyle w:val="7"/>
              <w:rPr>
                <w:rFonts w:ascii="Times New Roman"/>
                <w:sz w:val="20"/>
              </w:rPr>
            </w:pPr>
          </w:p>
        </w:tc>
        <w:tc>
          <w:tcPr>
            <w:tcW w:w="984" w:type="dxa"/>
          </w:tcPr>
          <w:p w14:paraId="763D6631">
            <w:pPr>
              <w:pStyle w:val="7"/>
              <w:rPr>
                <w:rFonts w:ascii="Times New Roman"/>
                <w:sz w:val="20"/>
              </w:rPr>
            </w:pPr>
          </w:p>
        </w:tc>
        <w:tc>
          <w:tcPr>
            <w:tcW w:w="984" w:type="dxa"/>
          </w:tcPr>
          <w:p w14:paraId="560913A0">
            <w:pPr>
              <w:pStyle w:val="7"/>
              <w:rPr>
                <w:rFonts w:ascii="Times New Roman"/>
                <w:sz w:val="20"/>
              </w:rPr>
            </w:pPr>
          </w:p>
        </w:tc>
        <w:tc>
          <w:tcPr>
            <w:tcW w:w="984" w:type="dxa"/>
          </w:tcPr>
          <w:p w14:paraId="3B011469">
            <w:pPr>
              <w:pStyle w:val="7"/>
              <w:rPr>
                <w:rFonts w:ascii="Times New Roman"/>
                <w:sz w:val="20"/>
              </w:rPr>
            </w:pPr>
          </w:p>
        </w:tc>
        <w:tc>
          <w:tcPr>
            <w:tcW w:w="984" w:type="dxa"/>
          </w:tcPr>
          <w:p w14:paraId="49EE0234">
            <w:pPr>
              <w:pStyle w:val="7"/>
              <w:rPr>
                <w:rFonts w:ascii="Times New Roman"/>
                <w:sz w:val="20"/>
              </w:rPr>
            </w:pPr>
          </w:p>
        </w:tc>
        <w:tc>
          <w:tcPr>
            <w:tcW w:w="1107" w:type="dxa"/>
          </w:tcPr>
          <w:p w14:paraId="2C1AA3A6">
            <w:pPr>
              <w:pStyle w:val="7"/>
              <w:rPr>
                <w:rFonts w:ascii="Times New Roman"/>
                <w:sz w:val="20"/>
              </w:rPr>
            </w:pPr>
          </w:p>
        </w:tc>
        <w:tc>
          <w:tcPr>
            <w:tcW w:w="1112" w:type="dxa"/>
          </w:tcPr>
          <w:p w14:paraId="61C6CB87">
            <w:pPr>
              <w:pStyle w:val="7"/>
              <w:rPr>
                <w:rFonts w:ascii="Times New Roman"/>
                <w:sz w:val="20"/>
              </w:rPr>
            </w:pPr>
          </w:p>
        </w:tc>
        <w:tc>
          <w:tcPr>
            <w:tcW w:w="733" w:type="dxa"/>
          </w:tcPr>
          <w:p w14:paraId="3FA6A557">
            <w:pPr>
              <w:pStyle w:val="7"/>
              <w:rPr>
                <w:rFonts w:ascii="Times New Roman"/>
                <w:sz w:val="20"/>
              </w:rPr>
            </w:pPr>
          </w:p>
        </w:tc>
        <w:tc>
          <w:tcPr>
            <w:tcW w:w="984" w:type="dxa"/>
          </w:tcPr>
          <w:p w14:paraId="653D952A">
            <w:pPr>
              <w:pStyle w:val="7"/>
              <w:rPr>
                <w:rFonts w:ascii="Times New Roman"/>
                <w:sz w:val="20"/>
              </w:rPr>
            </w:pPr>
          </w:p>
        </w:tc>
        <w:tc>
          <w:tcPr>
            <w:tcW w:w="984" w:type="dxa"/>
          </w:tcPr>
          <w:p w14:paraId="6AAABD66">
            <w:pPr>
              <w:pStyle w:val="7"/>
              <w:rPr>
                <w:rFonts w:ascii="Times New Roman"/>
                <w:sz w:val="20"/>
              </w:rPr>
            </w:pPr>
          </w:p>
        </w:tc>
        <w:tc>
          <w:tcPr>
            <w:tcW w:w="888" w:type="dxa"/>
          </w:tcPr>
          <w:p w14:paraId="6DDBDE87">
            <w:pPr>
              <w:pStyle w:val="7"/>
              <w:rPr>
                <w:rFonts w:ascii="Times New Roman"/>
                <w:sz w:val="20"/>
              </w:rPr>
            </w:pPr>
          </w:p>
        </w:tc>
      </w:tr>
    </w:tbl>
    <w:p w14:paraId="764709DD">
      <w:pPr>
        <w:spacing w:before="0" w:line="240" w:lineRule="exact"/>
        <w:ind w:left="226" w:right="0" w:firstLine="0"/>
        <w:jc w:val="left"/>
        <w:rPr>
          <w:rFonts w:ascii="Times New Roman" w:eastAsia="Times New Roman"/>
          <w:sz w:val="21"/>
        </w:rPr>
      </w:pPr>
      <w:r>
        <w:rPr>
          <w:w w:val="95"/>
          <w:sz w:val="21"/>
        </w:rPr>
        <w:t>说明</w:t>
      </w:r>
      <w:r>
        <w:rPr>
          <w:rFonts w:ascii="Times New Roman" w:eastAsia="Times New Roman"/>
          <w:spacing w:val="-10"/>
          <w:w w:val="95"/>
          <w:sz w:val="21"/>
        </w:rPr>
        <w:t>:</w:t>
      </w:r>
    </w:p>
    <w:p w14:paraId="2723B096">
      <w:pPr>
        <w:pStyle w:val="6"/>
        <w:numPr>
          <w:ilvl w:val="0"/>
          <w:numId w:val="1"/>
        </w:numPr>
        <w:tabs>
          <w:tab w:val="left" w:pos="806"/>
        </w:tabs>
        <w:spacing w:before="0" w:after="0" w:line="240" w:lineRule="exact"/>
        <w:ind w:left="805" w:right="0" w:hanging="160"/>
        <w:jc w:val="left"/>
        <w:rPr>
          <w:sz w:val="21"/>
        </w:rPr>
      </w:pPr>
      <w:r>
        <w:rPr>
          <w:spacing w:val="-1"/>
          <w:w w:val="95"/>
          <w:sz w:val="21"/>
        </w:rPr>
        <w:t>前期集中排查属于经营性自建房房的，其新增隐患可通过排查台账安全隐患动态管理录入隐患信息。</w:t>
      </w:r>
    </w:p>
    <w:p w14:paraId="3AC11B55">
      <w:pPr>
        <w:pStyle w:val="6"/>
        <w:numPr>
          <w:ilvl w:val="0"/>
          <w:numId w:val="1"/>
        </w:numPr>
        <w:tabs>
          <w:tab w:val="left" w:pos="806"/>
        </w:tabs>
        <w:spacing w:before="8" w:after="0" w:line="213" w:lineRule="auto"/>
        <w:ind w:left="226" w:right="290" w:firstLine="420"/>
        <w:jc w:val="left"/>
        <w:rPr>
          <w:sz w:val="21"/>
        </w:rPr>
      </w:pPr>
      <w:r>
        <w:rPr>
          <w:spacing w:val="-14"/>
          <w:w w:val="99"/>
          <w:sz w:val="21"/>
        </w:rPr>
        <w:t>前期集中排查为“其他自建房”而目前实际为经营性自建房的，因系统不允许更改已录入房屋信息的房屋用途，请统计</w:t>
      </w:r>
      <w:r>
        <w:rPr>
          <w:spacing w:val="-1"/>
          <w:w w:val="99"/>
          <w:sz w:val="21"/>
        </w:rPr>
        <w:t>（附表</w:t>
      </w:r>
      <w:r>
        <w:rPr>
          <w:spacing w:val="-50"/>
          <w:sz w:val="21"/>
        </w:rPr>
        <w:t xml:space="preserve"> </w:t>
      </w:r>
      <w:r>
        <w:rPr>
          <w:rFonts w:ascii="Times New Roman" w:hAnsi="Times New Roman" w:eastAsia="Times New Roman"/>
          <w:spacing w:val="-2"/>
          <w:w w:val="99"/>
          <w:sz w:val="21"/>
        </w:rPr>
        <w:t>2</w:t>
      </w:r>
      <w:r>
        <w:rPr>
          <w:spacing w:val="-41"/>
          <w:w w:val="99"/>
          <w:sz w:val="21"/>
        </w:rPr>
        <w:t>）</w:t>
      </w:r>
      <w:r>
        <w:rPr>
          <w:spacing w:val="-9"/>
          <w:w w:val="99"/>
          <w:sz w:val="21"/>
        </w:rPr>
        <w:t>房屋所属县</w:t>
      </w:r>
      <w:r>
        <w:rPr>
          <w:spacing w:val="-1"/>
          <w:w w:val="99"/>
          <w:sz w:val="21"/>
        </w:rPr>
        <w:t>（区</w:t>
      </w:r>
      <w:r>
        <w:rPr>
          <w:w w:val="99"/>
          <w:sz w:val="21"/>
        </w:rPr>
        <w:t>）</w:t>
      </w:r>
      <w:r>
        <w:rPr>
          <w:spacing w:val="-1"/>
          <w:w w:val="99"/>
          <w:sz w:val="21"/>
        </w:rPr>
        <w:t>和具体自建房安全排查编号，该房屋新增隐患可通过排查台账该房屋信息中安全隐患动态管理录入隐患信息。</w:t>
      </w:r>
    </w:p>
    <w:p w14:paraId="7BCB7359">
      <w:pPr>
        <w:pStyle w:val="6"/>
        <w:numPr>
          <w:ilvl w:val="0"/>
          <w:numId w:val="1"/>
        </w:numPr>
        <w:tabs>
          <w:tab w:val="left" w:pos="806"/>
        </w:tabs>
        <w:spacing w:before="1" w:after="0" w:line="213" w:lineRule="auto"/>
        <w:ind w:left="226" w:right="393" w:firstLine="420"/>
        <w:jc w:val="left"/>
        <w:rPr>
          <w:sz w:val="21"/>
        </w:rPr>
      </w:pPr>
      <w:r>
        <w:rPr>
          <w:spacing w:val="-4"/>
          <w:w w:val="99"/>
          <w:sz w:val="21"/>
        </w:rPr>
        <w:t>前期集中排查为“不需要排查”房屋而目前实际为经营性自建房的，请在排查台账现场排查情况栏目去掉“不需要排查”选项后，点击该图斑信</w:t>
      </w:r>
      <w:r>
        <w:rPr>
          <w:w w:val="99"/>
          <w:sz w:val="21"/>
        </w:rPr>
        <w:t>息中的</w:t>
      </w:r>
      <w:r>
        <w:rPr>
          <w:rFonts w:ascii="Times New Roman" w:hAnsi="Times New Roman" w:eastAsia="Times New Roman"/>
          <w:spacing w:val="-2"/>
          <w:w w:val="99"/>
          <w:sz w:val="21"/>
        </w:rPr>
        <w:t>“</w:t>
      </w:r>
      <w:r>
        <w:rPr>
          <w:w w:val="99"/>
          <w:sz w:val="21"/>
        </w:rPr>
        <w:t>排查</w:t>
      </w:r>
      <w:r>
        <w:rPr>
          <w:rFonts w:ascii="Times New Roman" w:hAnsi="Times New Roman" w:eastAsia="Times New Roman"/>
          <w:w w:val="99"/>
          <w:sz w:val="21"/>
        </w:rPr>
        <w:t>”</w:t>
      </w:r>
      <w:r>
        <w:rPr>
          <w:spacing w:val="-1"/>
          <w:w w:val="99"/>
          <w:sz w:val="21"/>
        </w:rPr>
        <w:t>，可录入最新排查及隐患信息。</w:t>
      </w:r>
    </w:p>
    <w:p w14:paraId="58104AB8">
      <w:pPr>
        <w:pStyle w:val="6"/>
        <w:numPr>
          <w:ilvl w:val="0"/>
          <w:numId w:val="1"/>
        </w:numPr>
        <w:tabs>
          <w:tab w:val="left" w:pos="806"/>
        </w:tabs>
        <w:spacing w:before="0" w:after="0" w:line="233" w:lineRule="exact"/>
        <w:ind w:left="805" w:right="0" w:hanging="160"/>
        <w:jc w:val="left"/>
        <w:rPr>
          <w:sz w:val="21"/>
        </w:rPr>
      </w:pPr>
      <w:r>
        <w:rPr>
          <w:spacing w:val="-1"/>
          <w:w w:val="95"/>
          <w:sz w:val="21"/>
        </w:rPr>
        <w:t>前期排查为无此房屋属于新增经营性自建房的，可在排查台账中通过现场定位新增图斑，录入排查及隐患信息。</w:t>
      </w:r>
    </w:p>
    <w:p w14:paraId="0BAB331A">
      <w:pPr>
        <w:pStyle w:val="6"/>
        <w:numPr>
          <w:ilvl w:val="0"/>
          <w:numId w:val="1"/>
        </w:numPr>
        <w:tabs>
          <w:tab w:val="left" w:pos="806"/>
        </w:tabs>
        <w:spacing w:before="9" w:after="0" w:line="213" w:lineRule="auto"/>
        <w:ind w:left="226" w:right="393" w:firstLine="420"/>
        <w:jc w:val="left"/>
        <w:rPr>
          <w:sz w:val="21"/>
        </w:rPr>
      </w:pPr>
      <w:r>
        <w:rPr>
          <w:spacing w:val="-3"/>
          <w:w w:val="99"/>
          <w:sz w:val="21"/>
        </w:rPr>
        <w:t>前期排为经营性自建房而实际属于非经营性目建房的，因系统不允许更改已录入房屋信息的房屋用途，请统计</w:t>
      </w:r>
      <w:r>
        <w:rPr>
          <w:rFonts w:ascii="Times New Roman" w:eastAsia="Times New Roman"/>
          <w:w w:val="99"/>
          <w:sz w:val="21"/>
        </w:rPr>
        <w:t>(</w:t>
      </w:r>
      <w:r>
        <w:rPr>
          <w:spacing w:val="-1"/>
          <w:w w:val="99"/>
          <w:sz w:val="21"/>
        </w:rPr>
        <w:t>附表</w:t>
      </w:r>
      <w:r>
        <w:rPr>
          <w:spacing w:val="-51"/>
          <w:sz w:val="21"/>
        </w:rPr>
        <w:t xml:space="preserve"> </w:t>
      </w:r>
      <w:r>
        <w:rPr>
          <w:rFonts w:ascii="Times New Roman" w:eastAsia="Times New Roman"/>
          <w:spacing w:val="1"/>
          <w:w w:val="99"/>
          <w:sz w:val="21"/>
        </w:rPr>
        <w:t>2</w:t>
      </w:r>
      <w:r>
        <w:rPr>
          <w:rFonts w:ascii="Times New Roman" w:eastAsia="Times New Roman"/>
          <w:w w:val="99"/>
          <w:sz w:val="21"/>
        </w:rPr>
        <w:t>)</w:t>
      </w:r>
      <w:r>
        <w:rPr>
          <w:spacing w:val="-1"/>
          <w:w w:val="99"/>
          <w:sz w:val="21"/>
        </w:rPr>
        <w:t>房屋所属县</w:t>
      </w:r>
      <w:r>
        <w:rPr>
          <w:rFonts w:ascii="Times New Roman" w:eastAsia="Times New Roman"/>
          <w:w w:val="99"/>
          <w:sz w:val="21"/>
        </w:rPr>
        <w:t>(</w:t>
      </w:r>
      <w:r>
        <w:rPr>
          <w:spacing w:val="2"/>
          <w:w w:val="99"/>
          <w:sz w:val="21"/>
        </w:rPr>
        <w:t>区</w:t>
      </w:r>
      <w:r>
        <w:rPr>
          <w:rFonts w:ascii="Times New Roman" w:eastAsia="Times New Roman"/>
          <w:w w:val="99"/>
          <w:sz w:val="21"/>
        </w:rPr>
        <w:t>)</w:t>
      </w:r>
      <w:r>
        <w:rPr>
          <w:spacing w:val="-1"/>
          <w:w w:val="99"/>
          <w:sz w:val="21"/>
        </w:rPr>
        <w:t>和具体自建房安全排查编号。</w:t>
      </w:r>
    </w:p>
    <w:p w14:paraId="5953CC9F">
      <w:pPr>
        <w:pStyle w:val="2"/>
        <w:rPr>
          <w:sz w:val="20"/>
        </w:rPr>
      </w:pPr>
    </w:p>
    <w:p w14:paraId="51F6B88C">
      <w:pPr>
        <w:pStyle w:val="2"/>
        <w:spacing w:before="3"/>
        <w:rPr>
          <w:sz w:val="27"/>
        </w:rPr>
      </w:pPr>
    </w:p>
    <w:p w14:paraId="66BBBD05">
      <w:pPr>
        <w:spacing w:before="89"/>
        <w:ind w:left="0" w:right="395" w:firstLine="0"/>
        <w:jc w:val="right"/>
        <w:rPr>
          <w:rFonts w:ascii="Times New Roman" w:hAnsi="Times New Roman"/>
          <w:sz w:val="28"/>
        </w:rPr>
      </w:pPr>
      <w:r>
        <w:rPr>
          <w:rFonts w:ascii="Times New Roman" w:hAnsi="Times New Roman"/>
          <w:sz w:val="28"/>
        </w:rPr>
        <w:t>—</w:t>
      </w:r>
      <w:r>
        <w:rPr>
          <w:rFonts w:ascii="Times New Roman" w:hAnsi="Times New Roman"/>
          <w:spacing w:val="-1"/>
          <w:sz w:val="28"/>
        </w:rPr>
        <w:t xml:space="preserve"> </w:t>
      </w:r>
      <w:r>
        <w:rPr>
          <w:rFonts w:ascii="Times New Roman" w:hAnsi="Times New Roman"/>
          <w:sz w:val="28"/>
        </w:rPr>
        <w:t>10</w:t>
      </w:r>
      <w:r>
        <w:rPr>
          <w:rFonts w:ascii="Times New Roman" w:hAnsi="Times New Roman"/>
          <w:spacing w:val="-1"/>
          <w:sz w:val="28"/>
        </w:rPr>
        <w:t xml:space="preserve"> </w:t>
      </w:r>
      <w:r>
        <w:rPr>
          <w:rFonts w:ascii="Times New Roman" w:hAnsi="Times New Roman"/>
          <w:spacing w:val="-10"/>
          <w:sz w:val="28"/>
        </w:rPr>
        <w:t>—</w:t>
      </w:r>
    </w:p>
    <w:p w14:paraId="2D20350D">
      <w:pPr>
        <w:spacing w:after="0"/>
        <w:jc w:val="right"/>
        <w:rPr>
          <w:rFonts w:ascii="Times New Roman" w:hAnsi="Times New Roman"/>
          <w:sz w:val="28"/>
        </w:rPr>
        <w:sectPr>
          <w:footerReference r:id="rId7" w:type="even"/>
          <w:pgSz w:w="16840" w:h="11910" w:orient="landscape"/>
          <w:pgMar w:top="1340" w:right="1080" w:bottom="280" w:left="1360" w:header="0" w:footer="0" w:gutter="0"/>
          <w:cols w:space="720" w:num="1"/>
        </w:sectPr>
      </w:pPr>
    </w:p>
    <w:p w14:paraId="6EE75668">
      <w:pPr>
        <w:pStyle w:val="2"/>
        <w:spacing w:before="6"/>
        <w:rPr>
          <w:rFonts w:ascii="Times New Roman"/>
          <w:sz w:val="19"/>
        </w:rPr>
      </w:pPr>
    </w:p>
    <w:p w14:paraId="20D1A524">
      <w:pPr>
        <w:pStyle w:val="2"/>
        <w:spacing w:before="5"/>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2</w:t>
      </w:r>
    </w:p>
    <w:p w14:paraId="3F52428F">
      <w:pPr>
        <w:pStyle w:val="2"/>
        <w:spacing w:before="4"/>
        <w:rPr>
          <w:rFonts w:ascii="Times New Roman"/>
          <w:sz w:val="8"/>
        </w:rPr>
      </w:pPr>
    </w:p>
    <w:p w14:paraId="262B2B46">
      <w:pPr>
        <w:pStyle w:val="2"/>
        <w:rPr>
          <w:rFonts w:ascii="Times New Roman"/>
          <w:sz w:val="20"/>
        </w:rPr>
      </w:pPr>
    </w:p>
    <w:p w14:paraId="7D1F9BF3">
      <w:pPr>
        <w:pStyle w:val="2"/>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eastAsia="zh-CN"/>
        </w:rPr>
        <w:t>房屋用途变化</w:t>
      </w:r>
      <w:r>
        <w:rPr>
          <w:rFonts w:hint="eastAsia" w:ascii="仿宋_GB2312" w:hAnsi="仿宋_GB2312" w:eastAsia="仿宋_GB2312" w:cs="仿宋_GB2312"/>
          <w:b/>
          <w:bCs/>
          <w:sz w:val="44"/>
          <w:szCs w:val="44"/>
          <w:lang w:val="en-US" w:eastAsia="zh-CN"/>
        </w:rPr>
        <w:t>情况统计表</w:t>
      </w:r>
    </w:p>
    <w:p w14:paraId="7F6A6764">
      <w:pPr>
        <w:pStyle w:val="2"/>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乡镇（街道）：</w:t>
      </w:r>
    </w:p>
    <w:tbl>
      <w:tblPr>
        <w:tblW w:w="95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27"/>
        <w:gridCol w:w="4176"/>
        <w:gridCol w:w="4176"/>
      </w:tblGrid>
      <w:tr w14:paraId="53D06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9" w:hRule="atLeast"/>
        </w:trPr>
        <w:tc>
          <w:tcPr>
            <w:tcW w:w="1227"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56EBB82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8352"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ECAC1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前期集中排查为其他自建房而目前实际为经营性自建房</w:t>
            </w:r>
          </w:p>
        </w:tc>
      </w:tr>
      <w:tr w14:paraId="53A92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227"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303D83B7">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C696B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乡镇（街道办事处）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9D8CA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自建房安全排查编号</w:t>
            </w:r>
          </w:p>
        </w:tc>
      </w:tr>
      <w:tr w14:paraId="5FEFA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58347F">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C6DEC1">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A86177">
            <w:pPr>
              <w:jc w:val="center"/>
              <w:rPr>
                <w:rFonts w:hint="eastAsia" w:ascii="宋体" w:hAnsi="宋体" w:eastAsia="宋体" w:cs="宋体"/>
                <w:b/>
                <w:bCs/>
                <w:i w:val="0"/>
                <w:iCs w:val="0"/>
                <w:color w:val="000000"/>
                <w:sz w:val="24"/>
                <w:szCs w:val="24"/>
                <w:u w:val="none"/>
              </w:rPr>
            </w:pPr>
          </w:p>
        </w:tc>
      </w:tr>
      <w:tr w14:paraId="3CE69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EFF845">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A42B50">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8938EC8">
            <w:pPr>
              <w:jc w:val="center"/>
              <w:rPr>
                <w:rFonts w:hint="eastAsia" w:ascii="宋体" w:hAnsi="宋体" w:eastAsia="宋体" w:cs="宋体"/>
                <w:b/>
                <w:bCs/>
                <w:i w:val="0"/>
                <w:iCs w:val="0"/>
                <w:color w:val="000000"/>
                <w:sz w:val="24"/>
                <w:szCs w:val="24"/>
                <w:u w:val="none"/>
              </w:rPr>
            </w:pPr>
          </w:p>
        </w:tc>
      </w:tr>
      <w:tr w14:paraId="48E52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F4B75D">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7FB59D5">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247154">
            <w:pPr>
              <w:jc w:val="center"/>
              <w:rPr>
                <w:rFonts w:hint="eastAsia" w:ascii="宋体" w:hAnsi="宋体" w:eastAsia="宋体" w:cs="宋体"/>
                <w:b/>
                <w:bCs/>
                <w:i w:val="0"/>
                <w:iCs w:val="0"/>
                <w:color w:val="000000"/>
                <w:sz w:val="24"/>
                <w:szCs w:val="24"/>
                <w:u w:val="none"/>
              </w:rPr>
            </w:pPr>
          </w:p>
        </w:tc>
      </w:tr>
      <w:tr w14:paraId="15C67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4C3061">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9A046C">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08230C">
            <w:pPr>
              <w:jc w:val="center"/>
              <w:rPr>
                <w:rFonts w:hint="eastAsia" w:ascii="宋体" w:hAnsi="宋体" w:eastAsia="宋体" w:cs="宋体"/>
                <w:b/>
                <w:bCs/>
                <w:i w:val="0"/>
                <w:iCs w:val="0"/>
                <w:color w:val="000000"/>
                <w:sz w:val="24"/>
                <w:szCs w:val="24"/>
                <w:u w:val="none"/>
              </w:rPr>
            </w:pPr>
          </w:p>
        </w:tc>
      </w:tr>
      <w:tr w14:paraId="4F95A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7954BE8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14:paraId="52D732D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前期集中排查为其他自建房而目前实际为经营性自建房</w:t>
            </w:r>
          </w:p>
        </w:tc>
      </w:tr>
      <w:tr w14:paraId="23B81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97855E">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EE5D5B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乡镇（街道办事处）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73F71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自建房安全排查编号</w:t>
            </w:r>
          </w:p>
        </w:tc>
      </w:tr>
      <w:tr w14:paraId="6267F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B9EB8E">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3785B6">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FC9FF8">
            <w:pPr>
              <w:jc w:val="center"/>
              <w:rPr>
                <w:rFonts w:hint="eastAsia" w:ascii="宋体" w:hAnsi="宋体" w:eastAsia="宋体" w:cs="宋体"/>
                <w:b/>
                <w:bCs/>
                <w:i w:val="0"/>
                <w:iCs w:val="0"/>
                <w:color w:val="000000"/>
                <w:sz w:val="24"/>
                <w:szCs w:val="24"/>
                <w:u w:val="none"/>
              </w:rPr>
            </w:pPr>
          </w:p>
        </w:tc>
      </w:tr>
      <w:tr w14:paraId="104DF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51BC285">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6A8A935">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D20160E">
            <w:pPr>
              <w:jc w:val="center"/>
              <w:rPr>
                <w:rFonts w:hint="eastAsia" w:ascii="宋体" w:hAnsi="宋体" w:eastAsia="宋体" w:cs="宋体"/>
                <w:b/>
                <w:bCs/>
                <w:i w:val="0"/>
                <w:iCs w:val="0"/>
                <w:color w:val="000000"/>
                <w:sz w:val="24"/>
                <w:szCs w:val="24"/>
                <w:u w:val="none"/>
              </w:rPr>
            </w:pPr>
          </w:p>
        </w:tc>
      </w:tr>
      <w:tr w14:paraId="2600B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E79237">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BB5A7F">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F50090">
            <w:pPr>
              <w:jc w:val="center"/>
              <w:rPr>
                <w:rFonts w:hint="eastAsia" w:ascii="宋体" w:hAnsi="宋体" w:eastAsia="宋体" w:cs="宋体"/>
                <w:b/>
                <w:bCs/>
                <w:i w:val="0"/>
                <w:iCs w:val="0"/>
                <w:color w:val="000000"/>
                <w:sz w:val="24"/>
                <w:szCs w:val="24"/>
                <w:u w:val="none"/>
              </w:rPr>
            </w:pPr>
          </w:p>
        </w:tc>
      </w:tr>
      <w:tr w14:paraId="07954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17C233">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C4B563">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AF3CB66">
            <w:pPr>
              <w:jc w:val="center"/>
              <w:rPr>
                <w:rFonts w:hint="eastAsia" w:ascii="宋体" w:hAnsi="宋体" w:eastAsia="宋体" w:cs="宋体"/>
                <w:b/>
                <w:bCs/>
                <w:i w:val="0"/>
                <w:iCs w:val="0"/>
                <w:color w:val="000000"/>
                <w:sz w:val="24"/>
                <w:szCs w:val="24"/>
                <w:u w:val="none"/>
              </w:rPr>
            </w:pPr>
          </w:p>
        </w:tc>
      </w:tr>
    </w:tbl>
    <w:p w14:paraId="30FAEE95">
      <w:pPr>
        <w:spacing w:before="218"/>
        <w:ind w:left="0" w:right="572" w:firstLine="0"/>
        <w:jc w:val="right"/>
        <w:rPr>
          <w:rFonts w:ascii="Times New Roman" w:hAnsi="Times New Roman"/>
          <w:sz w:val="28"/>
        </w:rPr>
      </w:pPr>
    </w:p>
    <w:p w14:paraId="6FE29982">
      <w:pPr>
        <w:spacing w:before="218"/>
        <w:ind w:left="0" w:right="572" w:firstLine="0"/>
        <w:jc w:val="right"/>
        <w:rPr>
          <w:rFonts w:ascii="Times New Roman" w:hAnsi="Times New Roman"/>
          <w:sz w:val="28"/>
        </w:rPr>
      </w:pPr>
    </w:p>
    <w:p w14:paraId="4CCA7534">
      <w:pPr>
        <w:spacing w:before="218"/>
        <w:ind w:left="0" w:right="572" w:firstLine="0"/>
        <w:jc w:val="right"/>
        <w:rPr>
          <w:rFonts w:ascii="Times New Roman" w:hAnsi="Times New Roman"/>
          <w:sz w:val="28"/>
        </w:rPr>
      </w:pPr>
    </w:p>
    <w:p w14:paraId="2DD95380">
      <w:pPr>
        <w:spacing w:before="218"/>
        <w:ind w:left="0" w:right="572" w:firstLine="0"/>
        <w:jc w:val="right"/>
        <w:rPr>
          <w:rFonts w:ascii="Times New Roman" w:hAnsi="Times New Roman"/>
          <w:sz w:val="28"/>
        </w:rPr>
      </w:pPr>
      <w:bookmarkStart w:id="0" w:name="_GoBack"/>
      <w:bookmarkEnd w:id="0"/>
    </w:p>
    <w:p w14:paraId="502244B8">
      <w:pPr>
        <w:spacing w:before="218"/>
        <w:ind w:left="0" w:right="572" w:firstLine="0"/>
        <w:jc w:val="right"/>
        <w:rPr>
          <w:rFonts w:ascii="Times New Roman" w:hAnsi="Times New Roman"/>
          <w:sz w:val="28"/>
        </w:rPr>
      </w:pPr>
    </w:p>
    <w:p w14:paraId="474D1CCA">
      <w:pPr>
        <w:spacing w:before="218"/>
        <w:ind w:left="0" w:right="572" w:firstLine="0"/>
        <w:jc w:val="right"/>
        <w:rPr>
          <w:rFonts w:ascii="Times New Roman" w:hAnsi="Times New Roman"/>
          <w:sz w:val="28"/>
        </w:rPr>
      </w:pPr>
      <w:r>
        <w:rPr>
          <w:rFonts w:ascii="Times New Roman" w:hAnsi="Times New Roman"/>
          <w:sz w:val="28"/>
        </w:rPr>
        <w:t>—</w:t>
      </w:r>
      <w:r>
        <w:rPr>
          <w:rFonts w:ascii="Times New Roman" w:hAnsi="Times New Roman"/>
          <w:spacing w:val="-6"/>
          <w:sz w:val="28"/>
        </w:rPr>
        <w:t xml:space="preserve"> </w:t>
      </w:r>
      <w:r>
        <w:rPr>
          <w:rFonts w:ascii="Times New Roman" w:hAnsi="Times New Roman"/>
          <w:sz w:val="28"/>
        </w:rPr>
        <w:t>11</w:t>
      </w:r>
      <w:r>
        <w:rPr>
          <w:rFonts w:ascii="Times New Roman" w:hAnsi="Times New Roman"/>
          <w:spacing w:val="-9"/>
          <w:sz w:val="28"/>
        </w:rPr>
        <w:t xml:space="preserve"> </w:t>
      </w:r>
      <w:r>
        <w:rPr>
          <w:rFonts w:ascii="Times New Roman" w:hAnsi="Times New Roman"/>
          <w:spacing w:val="-10"/>
          <w:sz w:val="28"/>
        </w:rPr>
        <w:t>—</w:t>
      </w:r>
    </w:p>
    <w:sectPr>
      <w:footerReference r:id="rId8" w:type="default"/>
      <w:footerReference r:id="rId9" w:type="even"/>
      <w:pgSz w:w="11910" w:h="16840"/>
      <w:pgMar w:top="1920" w:right="920" w:bottom="280" w:left="11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4DD38">
    <w:pPr>
      <w:pStyle w:val="2"/>
      <w:spacing w:line="14" w:lineRule="auto"/>
      <w:rPr>
        <w:sz w:val="20"/>
      </w:rPr>
    </w:pPr>
    <w:r>
      <w:pict>
        <v:shape id="docshape2" o:spid="_x0000_s2050" o:spt="202" type="#_x0000_t202" style="position:absolute;left:0pt;margin-left:106.6pt;margin-top:737.95pt;height:17.6pt;width:44.0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14:paraId="79A7491F">
                <w:pPr>
                  <w:spacing w:before="9"/>
                  <w:ind w:left="20" w:right="0" w:firstLine="0"/>
                  <w:jc w:val="left"/>
                  <w:rPr>
                    <w:rFonts w:ascii="Times New Roman" w:hAnsi="Times New Roman"/>
                    <w:sz w:val="28"/>
                  </w:rPr>
                </w:pPr>
                <w:r>
                  <w:rPr>
                    <w:rFonts w:ascii="Times New Roman" w:hAnsi="Times New Roman"/>
                    <w:sz w:val="28"/>
                  </w:rPr>
                  <w:t>—</w:t>
                </w:r>
                <w:r>
                  <w:rPr>
                    <w:rFonts w:ascii="Times New Roman" w:hAnsi="Times New Roman"/>
                    <w:spacing w:val="-3"/>
                    <w:sz w:val="28"/>
                  </w:rPr>
                  <w:t xml:space="preserve"> </w:t>
                </w:r>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Pr>
                    <w:rFonts w:ascii="Times New Roman" w:hAnsi="Times New Roman"/>
                    <w:sz w:val="28"/>
                  </w:rPr>
                  <w:t>3</w:t>
                </w:r>
                <w:r>
                  <w:rPr>
                    <w:rFonts w:ascii="Times New Roman" w:hAnsi="Times New Roman"/>
                    <w:sz w:val="28"/>
                  </w:rPr>
                  <w:fldChar w:fldCharType="end"/>
                </w:r>
                <w:r>
                  <w:rPr>
                    <w:rFonts w:ascii="Times New Roman" w:hAnsi="Times New Roman"/>
                    <w:sz w:val="28"/>
                  </w:rPr>
                  <w:t xml:space="preserve"> </w:t>
                </w:r>
                <w:r>
                  <w:rPr>
                    <w:rFonts w:ascii="Times New Roman" w:hAnsi="Times New Roman"/>
                    <w:spacing w:val="-10"/>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58B79">
    <w:pPr>
      <w:pStyle w:val="2"/>
      <w:spacing w:line="14" w:lineRule="auto"/>
      <w:rPr>
        <w:sz w:val="20"/>
      </w:rPr>
    </w:pPr>
    <w:r>
      <w:pict>
        <v:shape id="docshape1" o:spid="_x0000_s2049" o:spt="202" type="#_x0000_t202" style="position:absolute;left:0pt;margin-left:478.35pt;margin-top:737.95pt;height:17.6pt;width:44.0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1762C5BE">
                <w:pPr>
                  <w:spacing w:before="9"/>
                  <w:ind w:left="20" w:right="0" w:firstLine="0"/>
                  <w:jc w:val="left"/>
                  <w:rPr>
                    <w:rFonts w:ascii="Times New Roman" w:hAnsi="Times New Roman"/>
                    <w:sz w:val="28"/>
                  </w:rPr>
                </w:pPr>
                <w:r>
                  <w:rPr>
                    <w:rFonts w:ascii="Times New Roman" w:hAnsi="Times New Roman"/>
                    <w:sz w:val="28"/>
                  </w:rPr>
                  <w:t>—</w:t>
                </w:r>
                <w:r>
                  <w:rPr>
                    <w:rFonts w:ascii="Times New Roman" w:hAnsi="Times New Roman"/>
                    <w:spacing w:val="-3"/>
                    <w:sz w:val="28"/>
                  </w:rPr>
                  <w:t xml:space="preserve"> </w:t>
                </w:r>
                <w:r>
                  <w:rPr>
                    <w:rFonts w:ascii="Times New Roman" w:hAnsi="Times New Roman"/>
                    <w:sz w:val="28"/>
                  </w:rPr>
                  <w:fldChar w:fldCharType="begin"/>
                </w:r>
                <w:r>
                  <w:rPr>
                    <w:rFonts w:ascii="Times New Roman" w:hAnsi="Times New Roman"/>
                    <w:sz w:val="28"/>
                  </w:rPr>
                  <w:instrText xml:space="preserve"> PAGE </w:instrText>
                </w:r>
                <w:r>
                  <w:rPr>
                    <w:rFonts w:ascii="Times New Roman" w:hAnsi="Times New Roman"/>
                    <w:sz w:val="28"/>
                  </w:rPr>
                  <w:fldChar w:fldCharType="separate"/>
                </w:r>
                <w:r>
                  <w:rPr>
                    <w:rFonts w:ascii="Times New Roman" w:hAnsi="Times New Roman"/>
                    <w:sz w:val="28"/>
                  </w:rPr>
                  <w:t>2</w:t>
                </w:r>
                <w:r>
                  <w:rPr>
                    <w:rFonts w:ascii="Times New Roman" w:hAnsi="Times New Roman"/>
                    <w:sz w:val="28"/>
                  </w:rPr>
                  <w:fldChar w:fldCharType="end"/>
                </w:r>
                <w:r>
                  <w:rPr>
                    <w:rFonts w:ascii="Times New Roman" w:hAnsi="Times New Roman"/>
                    <w:sz w:val="28"/>
                  </w:rPr>
                  <w:t xml:space="preserve"> </w:t>
                </w:r>
                <w:r>
                  <w:rPr>
                    <w:rFonts w:ascii="Times New Roman" w:hAnsi="Times New Roman"/>
                    <w:spacing w:val="-10"/>
                    <w:sz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B4758">
    <w:pPr>
      <w:pStyle w:val="2"/>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16726">
    <w:pPr>
      <w:pStyle w:val="2"/>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B6492">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805" w:hanging="159"/>
        <w:jc w:val="left"/>
      </w:pPr>
      <w:rPr>
        <w:rFonts w:hint="default" w:ascii="Times New Roman" w:hAnsi="Times New Roman" w:eastAsia="Times New Roman" w:cs="Times New Roman"/>
        <w:b w:val="0"/>
        <w:bCs w:val="0"/>
        <w:i w:val="0"/>
        <w:iCs w:val="0"/>
        <w:spacing w:val="0"/>
        <w:w w:val="99"/>
        <w:sz w:val="19"/>
        <w:szCs w:val="19"/>
        <w:lang w:val="en-US" w:eastAsia="zh-CN" w:bidi="ar-SA"/>
      </w:rPr>
    </w:lvl>
    <w:lvl w:ilvl="1" w:tentative="0">
      <w:start w:val="0"/>
      <w:numFmt w:val="bullet"/>
      <w:lvlText w:val="•"/>
      <w:lvlJc w:val="left"/>
      <w:pPr>
        <w:ind w:left="2159" w:hanging="159"/>
      </w:pPr>
      <w:rPr>
        <w:rFonts w:hint="default"/>
        <w:lang w:val="en-US" w:eastAsia="zh-CN" w:bidi="ar-SA"/>
      </w:rPr>
    </w:lvl>
    <w:lvl w:ilvl="2" w:tentative="0">
      <w:start w:val="0"/>
      <w:numFmt w:val="bullet"/>
      <w:lvlText w:val="•"/>
      <w:lvlJc w:val="left"/>
      <w:pPr>
        <w:ind w:left="3519" w:hanging="159"/>
      </w:pPr>
      <w:rPr>
        <w:rFonts w:hint="default"/>
        <w:lang w:val="en-US" w:eastAsia="zh-CN" w:bidi="ar-SA"/>
      </w:rPr>
    </w:lvl>
    <w:lvl w:ilvl="3" w:tentative="0">
      <w:start w:val="0"/>
      <w:numFmt w:val="bullet"/>
      <w:lvlText w:val="•"/>
      <w:lvlJc w:val="left"/>
      <w:pPr>
        <w:ind w:left="4879" w:hanging="159"/>
      </w:pPr>
      <w:rPr>
        <w:rFonts w:hint="default"/>
        <w:lang w:val="en-US" w:eastAsia="zh-CN" w:bidi="ar-SA"/>
      </w:rPr>
    </w:lvl>
    <w:lvl w:ilvl="4" w:tentative="0">
      <w:start w:val="0"/>
      <w:numFmt w:val="bullet"/>
      <w:lvlText w:val="•"/>
      <w:lvlJc w:val="left"/>
      <w:pPr>
        <w:ind w:left="6239" w:hanging="159"/>
      </w:pPr>
      <w:rPr>
        <w:rFonts w:hint="default"/>
        <w:lang w:val="en-US" w:eastAsia="zh-CN" w:bidi="ar-SA"/>
      </w:rPr>
    </w:lvl>
    <w:lvl w:ilvl="5" w:tentative="0">
      <w:start w:val="0"/>
      <w:numFmt w:val="bullet"/>
      <w:lvlText w:val="•"/>
      <w:lvlJc w:val="left"/>
      <w:pPr>
        <w:ind w:left="7599" w:hanging="159"/>
      </w:pPr>
      <w:rPr>
        <w:rFonts w:hint="default"/>
        <w:lang w:val="en-US" w:eastAsia="zh-CN" w:bidi="ar-SA"/>
      </w:rPr>
    </w:lvl>
    <w:lvl w:ilvl="6" w:tentative="0">
      <w:start w:val="0"/>
      <w:numFmt w:val="bullet"/>
      <w:lvlText w:val="•"/>
      <w:lvlJc w:val="left"/>
      <w:pPr>
        <w:ind w:left="8958" w:hanging="159"/>
      </w:pPr>
      <w:rPr>
        <w:rFonts w:hint="default"/>
        <w:lang w:val="en-US" w:eastAsia="zh-CN" w:bidi="ar-SA"/>
      </w:rPr>
    </w:lvl>
    <w:lvl w:ilvl="7" w:tentative="0">
      <w:start w:val="0"/>
      <w:numFmt w:val="bullet"/>
      <w:lvlText w:val="•"/>
      <w:lvlJc w:val="left"/>
      <w:pPr>
        <w:ind w:left="10318" w:hanging="159"/>
      </w:pPr>
      <w:rPr>
        <w:rFonts w:hint="default"/>
        <w:lang w:val="en-US" w:eastAsia="zh-CN" w:bidi="ar-SA"/>
      </w:rPr>
    </w:lvl>
    <w:lvl w:ilvl="8" w:tentative="0">
      <w:start w:val="0"/>
      <w:numFmt w:val="bullet"/>
      <w:lvlText w:val="•"/>
      <w:lvlJc w:val="left"/>
      <w:pPr>
        <w:ind w:left="11678" w:hanging="159"/>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WI1MzFjZGQwNmJkZjY4YjMwNzM1ZmM1MWRjYzE5ZjcifQ=="/>
  </w:docVars>
  <w:rsids>
    <w:rsidRoot w:val="00000000"/>
    <w:rsid w:val="41F650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en-US" w:eastAsia="zh-CN" w:bidi="ar-SA"/>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ind w:left="226" w:firstLine="420"/>
    </w:pPr>
    <w:rPr>
      <w:rFonts w:ascii="宋体" w:hAnsi="宋体" w:eastAsia="宋体" w:cs="宋体"/>
      <w:lang w:val="en-US" w:eastAsia="zh-CN" w:bidi="ar-SA"/>
    </w:rPr>
  </w:style>
  <w:style w:type="paragraph" w:customStyle="1" w:styleId="7">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4880</Words>
  <Characters>5007</Characters>
  <TotalTime>9</TotalTime>
  <ScaleCrop>false</ScaleCrop>
  <LinksUpToDate>false</LinksUpToDate>
  <CharactersWithSpaces>5099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2024-08-20T02:59:00Z</dcterms:created>
  <dc:creator>Administrator</dc:creator>
  <cp:lastModifiedBy>当家。寻乡</cp:lastModifiedBy>
  <dcterms:modified xsi:type="dcterms:W3CDTF">2024-08-20T03:10:09Z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https://xpdf.cn</vt:lpwstr>
  </property>
  <property fmtid="{D5CDD505-2E9C-101B-9397-08002B2CF9AE}" pid="3" name="Producer">
    <vt:lpwstr>Xpdf - https://xpdf.cn</vt:lpwstr>
  </property>
  <property fmtid="{D5CDD505-2E9C-101B-9397-08002B2CF9AE}" pid="4" name="KSOProductBuildVer">
    <vt:lpwstr>2052-12.1.0.17147</vt:lpwstr>
  </property>
  <property fmtid="{D5CDD505-2E9C-101B-9397-08002B2CF9AE}" pid="5" name="ICV">
    <vt:lpwstr>8639ED30811149A88B25EEC2B55A19F5_12</vt:lpwstr>
  </property>
</Properties>
</file>