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40" w:lineRule="exact"/>
        <w:ind w:firstLine="880" w:firstLineChars="200"/>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公证业务</w:t>
      </w:r>
      <w:bookmarkStart w:id="0" w:name="_GoBack"/>
      <w:bookmarkEnd w:id="0"/>
      <w:r>
        <w:rPr>
          <w:rFonts w:hint="eastAsia" w:ascii="黑体" w:hAnsi="黑体" w:eastAsia="黑体" w:cs="黑体"/>
          <w:b w:val="0"/>
          <w:bCs w:val="0"/>
          <w:sz w:val="44"/>
          <w:szCs w:val="44"/>
        </w:rPr>
        <w:t>受理范围</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继承</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委托、声明、赠与、遗嘱</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财产分割</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招标投标、拍卖</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婚姻状况、亲属关系、收养关系</w:t>
      </w:r>
      <w:r>
        <w:rPr>
          <w:rFonts w:hint="eastAsia" w:ascii="仿宋" w:hAnsi="仿宋" w:eastAsia="仿宋" w:cs="仿宋"/>
          <w:sz w:val="32"/>
          <w:szCs w:val="32"/>
          <w:lang w:eastAsia="zh-CN"/>
        </w:rPr>
        <w:t>、</w:t>
      </w:r>
      <w:r>
        <w:rPr>
          <w:rFonts w:hint="eastAsia" w:ascii="仿宋" w:hAnsi="仿宋" w:eastAsia="仿宋" w:cs="仿宋"/>
          <w:sz w:val="32"/>
          <w:szCs w:val="32"/>
        </w:rPr>
        <w:t>出生、生存、死亡、身份、经历、学历、学位、职务、职称、有无违法犯罪记录</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公司章程</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保全证据</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文书上的签名、印鉴、日期，文书的副本、影印本与原本相符</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自然人、法人或者其他组织自愿申请办理的其他公证事项。</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法律、行政法规规定应当公证的事项，有关自然人、法人或者其他组织应当向公证机构申请办理公证。</w:t>
      </w:r>
    </w:p>
    <w:p>
      <w:pPr>
        <w:keepNext w:val="0"/>
        <w:keepLines w:val="0"/>
        <w:pageBreakBefore w:val="0"/>
        <w:widowControl/>
        <w:kinsoku/>
        <w:wordWrap/>
        <w:overflowPunct/>
        <w:topLinePunct w:val="0"/>
        <w:autoSpaceDE/>
        <w:autoSpaceDN/>
        <w:bidi w:val="0"/>
        <w:adjustRightInd w:val="0"/>
        <w:snapToGrid w:val="0"/>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不予</w:t>
      </w:r>
      <w:r>
        <w:rPr>
          <w:rFonts w:hint="eastAsia" w:ascii="仿宋" w:hAnsi="仿宋" w:eastAsia="仿宋" w:cs="仿宋"/>
          <w:b/>
          <w:bCs/>
          <w:sz w:val="32"/>
          <w:szCs w:val="32"/>
          <w:lang w:eastAsia="zh-CN"/>
        </w:rPr>
        <w:t>受</w:t>
      </w:r>
      <w:r>
        <w:rPr>
          <w:rFonts w:hint="eastAsia" w:ascii="仿宋" w:hAnsi="仿宋" w:eastAsia="仿宋" w:cs="仿宋"/>
          <w:b/>
          <w:bCs/>
          <w:sz w:val="32"/>
          <w:szCs w:val="32"/>
        </w:rPr>
        <w:t>理情形:</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无民事行为能力人或者限制民事行为能力人没有监护人代理申请办理公证的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当事人与申请公证的事项没有利害关系的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申请公证的事项属于专业技术鉴定、评估事项的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当事人之间对申请公证的事项有争议的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当事人虚构、隐瞒事实、或者提供虚假证明材料的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当事人提供的证明材料不充分又无法补充，或者拒绝补充证明材料的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申请公证的事项不真实、不合法的</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申请公证的事项违背社会公德的</w:t>
      </w:r>
      <w:r>
        <w:rPr>
          <w:rFonts w:hint="eastAsia" w:ascii="仿宋" w:hAnsi="仿宋" w:eastAsia="仿宋" w:cs="仿宋"/>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NWFmMzBlOWUzZDkwOWFiNWFhNWQ0ZjA3YTRmNGYifQ=="/>
  </w:docVars>
  <w:rsids>
    <w:rsidRoot w:val="6DE47EC4"/>
    <w:rsid w:val="6DE4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422</Characters>
  <Lines>0</Lines>
  <Paragraphs>0</Paragraphs>
  <TotalTime>0</TotalTime>
  <ScaleCrop>false</ScaleCrop>
  <LinksUpToDate>false</LinksUpToDate>
  <CharactersWithSpaces>422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2022-07-06T07:41:00Z</dcterms:created>
  <dc:creator>Administrator</dc:creator>
  <cp:lastModifiedBy>Administrator</cp:lastModifiedBy>
  <dcterms:modified xsi:type="dcterms:W3CDTF">2022-07-06T07:42:24Z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25B6997A3A2D4E3DB12A4B4A2CEBEDA8</vt:lpwstr>
  </property>
</Properties>
</file>