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eastAsia="zh-CN"/>
        </w:rPr>
        <w:t>青云牧场</w:t>
      </w:r>
    </w:p>
    <w:p>
      <w:pPr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青云牧场位于许昌市建安区五女店镇老庄陈村桃花源路中段88号，总占地约245亩，一期预投资1000万元人民币。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河南瞰云农业发展有限公司成立于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2017年，旗下主营业务为布兰奇自然学校及青云牧场，经营业务范围为旅游休闲观光、特色农牧业养殖、青少年自然科学教育、餐饮住宿等，涵盖农业、旅游、教育三大板块。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公司以“回归自然的理想世界”为经营理念，将农业种植、特色牧业养殖和观光休闲生态旅游、亲子自然科学教育等相结合，通过特色养殖显示出其差异化，同时融入旅游观光、亲子教育课题，将三者有机结合，走出一条生态旅游、农业发展的新路子，并通过其示范、推广和辐射作用结合科学的营销手段将景区推向全省甚至全国。</w:t>
      </w:r>
    </w:p>
    <w:p>
      <w:p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目前公司现有员工115名，结合乡村振兴方针，公司本着就近就业、家门口就业，近80%的员工都是附近村民。</w:t>
      </w:r>
    </w:p>
    <w:p>
      <w:p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在区委、区政府及五女店镇党委、镇政府的正确领导下，以经济建设为中心，以经济结构调整为主线，围绕农业富镇、工业强镇 、科教兴镇的主线，促进了农业增产增收，工业增速增效，农业、旅游观光业成为其主要产业之一，为牧场发展建设打下了良好的基础。</w:t>
      </w:r>
    </w:p>
    <w:p>
      <w:p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青云牧场在区委、区政府及镇党委政府领导的指导下，将走出一条特色牧场发展之路，发挥特色优势、科技优势、项目特色、营销优势、人力资源优势。打造一条农业种植、牧业养殖和亲子观光体验、自然科学教育、培训等相结合，打造农业种养殖新型产业链。   </w:t>
      </w:r>
    </w:p>
    <w:p>
      <w:pPr>
        <w:ind w:firstLine="48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项目将对园区进行不断升级改造，提升向五女店镇标杆企业努力，目前 园区包含有自然科学教育、天鹅岛、星空泡泡屋、大型草坪，观光研学小火车、动物乐园（羊驼、梅花鹿、孔雀等等各种小动物）、帐篷露营地、一份田计划、拓展培训基地、采摘之旅等等项目。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在国家乡村经济振兴政策号召下，瞰云农业在建安区区委、区政府、及五女店镇镇党委、政府的关怀下，成为区域农业发展、乡村经济振兴的试点单位。公司旗下牧场及自然科学教育分别获得了“河南省现代农业科普园”、“河南省科普教育基地”、“许昌市科普教育基地”、“许昌市中小学专项性社会实践教育基地-劳动实践基地”、“许昌市建安区现代农场”等多项官方认证资质。为充分发挥头部企业的带头作用，2021年，瞰云农业以打造全省示范品牌、集团化发展为指导思想，引进多层次的服务项目，大力地提升经营品质，并将在经营过程中持续探索，力争成为全省甚至全国的专业品牌。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未来，瞰云农业将持续创造农业生态、有机发展新的辉煌！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营业时间：9：00-18：00</w:t>
      </w:r>
    </w:p>
    <w:p>
      <w:pPr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票价参考：19.9元/人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联系人：齐会超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联系电话：18003815658</w:t>
      </w:r>
    </w:p>
    <w:p>
      <w:pPr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地址：许昌市建安区五女店镇老庄陈村桃花源路88号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0000000"/>
    <w:rsid w:val="0EB07252"/>
    <w:rsid w:val="1BE54103"/>
    <w:rsid w:val="1C0E4366"/>
    <w:rsid w:val="37192020"/>
    <w:rsid w:val="3B5D1F5E"/>
    <w:rsid w:val="427278B1"/>
    <w:rsid w:val="600178C4"/>
    <w:rsid w:val="6C0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2021-12-02T01:27:00Z</dcterms:created>
  <dc:creator>Administrator</dc:creator>
  <cp:lastModifiedBy>当家。寻乡</cp:lastModifiedBy>
  <dcterms:modified xsi:type="dcterms:W3CDTF">2023-10-31T07:23:15Z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AE617E2FA1494712A7E81B105D540A36_13</vt:lpwstr>
  </property>
</Properties>
</file>