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25"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幼儿园教师违反职业道德行为处理办法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420"/>
        <w:jc w:val="both"/>
        <w:rPr>
          <w:rFonts w:ascii="仿宋_GB2312" w:hAnsi="微软雅黑"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ascii="仿宋_GB2312" w:hAnsi="微软雅黑" w:eastAsia="仿宋_GB2312" w:cs="仿宋_GB2312"/>
          <w:i w:val="0"/>
          <w:iCs w:val="0"/>
          <w:caps w:val="0"/>
          <w:color w:val="333333"/>
          <w:spacing w:val="0"/>
          <w:sz w:val="32"/>
          <w:szCs w:val="32"/>
          <w:bdr w:val="none" w:color="auto" w:sz="0" w:space="0"/>
          <w:shd w:val="clear" w:fill="FFFFFF"/>
        </w:rPr>
        <w:t>第一条</w:t>
      </w:r>
      <w:r>
        <w:rPr>
          <w:rFonts w:hint="default" w:ascii="仿宋_GB2312" w:hAnsi="微软雅黑" w:eastAsia="仿宋_GB2312" w:cs="仿宋_GB2312"/>
          <w:i w:val="0"/>
          <w:iCs w:val="0"/>
          <w:caps w:val="0"/>
          <w:color w:val="333333"/>
          <w:spacing w:val="0"/>
          <w:sz w:val="32"/>
          <w:szCs w:val="32"/>
          <w:bdr w:val="none" w:color="auto" w:sz="0" w:space="0"/>
          <w:shd w:val="clear" w:fill="FFFFFF"/>
        </w:rPr>
        <w:t> 为规范幼儿园教师职业</w:t>
      </w:r>
      <w:r>
        <w:rPr>
          <w:rFonts w:hint="default" w:ascii="仿宋_GB2312" w:hAnsi="微软雅黑" w:eastAsia="仿宋_GB2312" w:cs="仿宋_GB2312"/>
          <w:i w:val="0"/>
          <w:iCs w:val="0"/>
          <w:caps w:val="0"/>
          <w:color w:val="000000"/>
          <w:spacing w:val="0"/>
          <w:sz w:val="32"/>
          <w:szCs w:val="32"/>
          <w:bdr w:val="none" w:color="auto" w:sz="0" w:space="0"/>
          <w:shd w:val="clear" w:fill="FFFFFF"/>
        </w:rPr>
        <w:t>行为，保障</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"https://baike.so.com/doc/5392868-5629788.html"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教师</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"https://baike.so.com/doc/5544459-5759566.html"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幼儿</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的合法权益，根据《</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"https://baike.so.com/doc/5429398-5667630.html"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中华人民共和国教育法</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"https://baike.so.com/doc/5369974-5605828.html"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中华人民共和国未成年人保护法</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"https://baike.so.com/doc/6155005-6368219.html"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中华人民共和国教师法</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"https://baike.so.com/doc/5432144-5670438.html"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教师资格条例</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》和《新时代幼儿园教师职业行为十项准则》等法律法规和制度规范，制定本办法。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第二条 本办法所称幼儿园教师包括</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"https://baike.so.com/doc/2963960-3126809.html"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公办幼儿园</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"https://baike.so.com/doc/25110487-26090177.html"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民办</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333333"/>
          <w:spacing w:val="0"/>
          <w:sz w:val="32"/>
          <w:szCs w:val="32"/>
          <w:bdr w:val="none" w:color="auto" w:sz="0" w:space="0"/>
          <w:shd w:val="clear" w:fill="FFFFFF"/>
        </w:rPr>
        <w:t>幼儿园的教师。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第三条 本办法所称处理包括处分和其他处理。处分包括警告、记过、降低岗位等级或撤职、开除。警告期限为6个月，记过期限为12个月，降低岗位等级或撤职期限为24个月。是中共党员的，同时给予党纪处分。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其他处理包括给予批评教育、诫勉谈话、责令检查、通报批评，以及取消在评奖评优、职务晋升、职称评定、岗位聘用、工资晋级、申报人才计划等方面的资格。取消相关资格的处理执行期限不得少于24个月。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教师涉嫌违法犯罪的，及时移送司法机关依法处理。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第四条 应予处理的教师违反职业道德行为如下：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（一）在保教活动中及其他场合有损害党中央权威和违背党的路线方针政策的言行。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（二）损害国家利益、社会公共利益，或违背社会公序良俗。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（三）通过保教活动、论坛、讲座、信息网络及其他渠道发表、转发错误观点，或编造散布虚假信息、不良信息。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（四）在工作期间玩忽职守、消极怠工，或空岗、未经批准找人替班，利用职务之便兼职兼薪。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（五）在保教活动中遇突发事件、面临危险时，不顾幼儿安危，擅离职守，自行逃离。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（六）体罚和变相体罚幼儿，歧视、侮辱幼儿，猥亵、虐待、伤害幼儿。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（七）采用学校教育方式提前教授小学内容，组织有碍幼儿身心健康的活动。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（八）在入园招生、绩效考核、岗位聘用、职称评聘、评优评奖等工作中徇私舞弊、弄虚作假。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（九）索要、收受幼儿家长财物或参加由家长付费的宴请、旅游、娱乐休闲等活动，推销幼儿读物、社会保险或利用家长资源谋取私利。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（十）组织幼儿参加以营利为目的的表演、竞赛活动，或泄露幼儿与家长的信息。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（十一）其他违反职业道德的行为。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第五条 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第六条 给予教师处理，应当坚持公平公正、教育与惩处相结合的原则；应当与其违反职业道德行为的性质、情节、危害程度相适应；应当事实清楚、证据确凿、定性准确、处理恰当、程序合法、手续完备。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第七条 给予教师处理按照以下权限决定：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（一）警告和记过处分，公办幼儿园教师由所在幼儿园提出建议，幼儿园主管部门决定。民办幼儿园教师由所在幼儿园提出建议，幼儿园举办者做出决定，并报主管部门备案。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（二）降低岗位等级或撤职处分，公办幼儿园由教师所在幼儿园提出建议，幼儿园主管部门决定并报同级人事部门备案。民办幼儿园教师由所在幼儿园提出建议，幼儿园举办者做出决定，并报主管部门备案。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第八条 处理决定应当书面通知教师本人并载明认定的事实、理由、依据、期限及申诉途径等内容。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第九条 教师不服处理决定的，可以向幼儿园主管部门申请复核。对复核结果不服的，可以向幼儿园主管部门的上一级行政部门提出申诉。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对教师的处理，在期满后根据悔改表现予以延期或解除，处理决定和处理解除决定都应完整存入人事档案及教师管理信息系统。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第十条 教师受到处分的，符合《</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"https://baike.so.com/doc/5432144-5670438.html"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教师资格条例</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333333"/>
          <w:spacing w:val="0"/>
          <w:sz w:val="32"/>
          <w:szCs w:val="32"/>
          <w:bdr w:val="none" w:color="auto" w:sz="0" w:space="0"/>
          <w:shd w:val="clear" w:fill="FFFFFF"/>
        </w:rPr>
        <w:t>》第十九条规定的，由县级以上教育行政部门依法撤销其教师资格。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教师受处分期间暂缓教师资格定期注册。依据《</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"https://baike.so.com/doc/6155005-6368219.html"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中华人民共和国教师法</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333333"/>
          <w:spacing w:val="0"/>
          <w:sz w:val="32"/>
          <w:szCs w:val="32"/>
          <w:bdr w:val="none" w:color="auto" w:sz="0" w:space="0"/>
          <w:shd w:val="clear" w:fill="FFFFFF"/>
        </w:rPr>
        <w:t>》第十四条规定丧失教师资格的，不能重新取得教师资格。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教师受记过以上处分期间不能参加专业技术职务任职资格评审。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第十一条 教师被依法判处刑罚的，依据《</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"https://baike.so.com/doc/4845998-5063104.html"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default" w:ascii="仿宋_GB2312" w:hAnsi="微软雅黑" w:eastAsia="仿宋_GB2312" w:cs="仿宋_GB2312"/>
          <w:i w:val="0"/>
          <w:iCs w:val="0"/>
          <w:caps w:val="0"/>
          <w:color w:val="000000"/>
          <w:spacing w:val="0"/>
          <w:sz w:val="32"/>
          <w:szCs w:val="32"/>
          <w:u w:val="none"/>
          <w:bdr w:val="none" w:color="auto" w:sz="0" w:space="0"/>
          <w:shd w:val="clear" w:fill="FFFFFF"/>
        </w:rPr>
        <w:t>事业单位工作人员处分暂行规定</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default" w:ascii="仿宋_GB2312" w:hAnsi="微软雅黑" w:eastAsia="仿宋_GB2312" w:cs="仿宋_GB2312"/>
          <w:i w:val="0"/>
          <w:iCs w:val="0"/>
          <w:caps w:val="0"/>
          <w:color w:val="333333"/>
          <w:spacing w:val="0"/>
          <w:sz w:val="32"/>
          <w:szCs w:val="32"/>
          <w:bdr w:val="none" w:color="auto" w:sz="0" w:space="0"/>
          <w:shd w:val="clear" w:fill="FFFFFF"/>
        </w:rPr>
        <w:t>》给予降低岗位等级或者撤职以上处分。其中，被依法判处有期徒刑以上刑罚的，给予开除处分。教师受到剥夺政治权利或者故意犯罪受到有期徒刑以上刑事处罚的，丧失教师资格。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第十二条 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（一）师德师风长效机制建设、日常教育督导不到位；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（二）师德失范问题排查发现不及时；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（三）对已发现的师德失范行为处置不力、方式不当或拒不处分、拖延处分、推诿隐瞒的；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（四）已作出的师德失范行为处理决定落实不到位，师德失范行为整改不彻底；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（五）多次出现师德失范问题或因师德失范行为引起不良社会影响；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（六）其他应当问责的失职失责情形。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640" w:firstLineChars="200"/>
        <w:jc w:val="both"/>
        <w:textAlignment w:val="auto"/>
        <w:rPr>
          <w:sz w:val="24"/>
          <w:szCs w:val="24"/>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第十三条 省级教育行政部门应当结合当地实际情况制定实施细则，并报国务院教育行政部门备案。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0" w:right="0" w:firstLine="640" w:firstLineChars="200"/>
        <w:jc w:val="both"/>
        <w:textAlignment w:val="auto"/>
      </w:pPr>
      <w:bookmarkStart w:id="0" w:name="_GoBack"/>
      <w:bookmarkEnd w:id="0"/>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第十四条 本办法自发布之日起施行</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jM2ODdjYTNiN2QzMmNlNjk0Y2VhM2JiYTViNjAifQ=="/>
  </w:docVars>
  <w:rsids>
    <w:rsidRoot w:val="31B510D1"/>
    <w:rsid w:val="31B5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2023-10-24T06:40:00Z</dcterms:created>
  <dc:creator>悟己</dc:creator>
  <cp:lastModifiedBy>悟己</cp:lastModifiedBy>
  <dcterms:modified xsi:type="dcterms:W3CDTF">2023-10-24T06:43:29Z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6305DA0D134B417EAE2D960B6BECC73A_11</vt:lpwstr>
  </property>
</Properties>
</file>