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444444"/>
          <w:spacing w:val="0"/>
          <w:sz w:val="48"/>
          <w:szCs w:val="48"/>
          <w:shd w:val="clear" w:fill="FFFFFF"/>
        </w:rPr>
      </w:pPr>
      <w:r>
        <w:rPr>
          <w:rFonts w:hint="eastAsia" w:ascii="方正小标宋简体" w:hAnsi="方正小标宋简体" w:eastAsia="方正小标宋简体" w:cs="方正小标宋简体"/>
          <w:i w:val="0"/>
          <w:iCs w:val="0"/>
          <w:caps w:val="0"/>
          <w:color w:val="444444"/>
          <w:spacing w:val="0"/>
          <w:sz w:val="48"/>
          <w:szCs w:val="48"/>
          <w:shd w:val="clear" w:fill="FFFFFF"/>
        </w:rPr>
        <w:t>《国务院关于进一步健全特困人员救助供养制度的意见》（国发（2016）14号）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444444"/>
          <w:spacing w:val="0"/>
          <w:sz w:val="48"/>
          <w:szCs w:val="48"/>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各省、自治区、直辖市人民政府，国务院各部委、各直属机构：</w:t>
      </w:r>
      <w:r>
        <w:rPr>
          <w:rFonts w:hint="eastAsia" w:ascii="仿宋_GB2312" w:hAnsi="仿宋_GB2312" w:eastAsia="仿宋_GB2312" w:cs="仿宋_GB2312"/>
          <w:i w:val="0"/>
          <w:iCs w:val="0"/>
          <w:caps w:val="0"/>
          <w:color w:val="444444"/>
          <w:spacing w:val="0"/>
          <w:sz w:val="36"/>
          <w:szCs w:val="36"/>
          <w:shd w:val="clear" w:fill="FFFFFF"/>
        </w:rPr>
        <w:br w:type="textWrapping"/>
      </w:r>
      <w:bookmarkStart w:id="0" w:name="_GoBack"/>
      <w:r>
        <w:rPr>
          <w:rFonts w:hint="eastAsia" w:ascii="仿宋_GB2312" w:hAnsi="仿宋_GB2312" w:eastAsia="仿宋_GB2312" w:cs="仿宋_GB2312"/>
          <w:i w:val="0"/>
          <w:iCs w:val="0"/>
          <w:caps w:val="0"/>
          <w:color w:val="444444"/>
          <w:spacing w:val="0"/>
          <w:sz w:val="36"/>
          <w:szCs w:val="36"/>
          <w:shd w:val="clear" w:fill="FFFFFF"/>
        </w:rPr>
        <w:t>　　</w:t>
      </w:r>
      <w:bookmarkEnd w:id="0"/>
      <w:r>
        <w:rPr>
          <w:rFonts w:hint="eastAsia" w:ascii="仿宋_GB2312" w:hAnsi="仿宋_GB2312" w:eastAsia="仿宋_GB2312" w:cs="仿宋_GB2312"/>
          <w:i w:val="0"/>
          <w:iCs w:val="0"/>
          <w:caps w:val="0"/>
          <w:color w:val="444444"/>
          <w:spacing w:val="0"/>
          <w:sz w:val="36"/>
          <w:szCs w:val="36"/>
          <w:shd w:val="clear" w:fill="FFFFFF"/>
        </w:rPr>
        <w:t>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一、总体要求和基本原则</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（一）总体要求。</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（二）基本原则。</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坚持托底供养。强化政府托底保障职责，为城乡特困人员提供基本生活、照料服务、疾病治疗和殡葬服务等方面保障，做到应救尽救、应养尽养。</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坚持属地管理。县级以上地方人民政府统筹做好本行政区域内特困人员救助供养工作，分级管理，落实责任，强化管理服务和资金保障，为特困人员提供规范、适度的救助供养服务。</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坚持城乡统筹。健全城乡特困人员救助供养工作管理体制，在政策目标、资金筹集、对象范围、供养标准、经办服务等方面实现城乡统筹，确保城乡特困人员都能获得救助供养服务。</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坚持适度保障。立足经济社会发展水平，科学合理制定救助供养标准，加强与其他社会保障制度衔接，实现特困人员救助供养制度保基本、全覆盖、可持续。</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坚持社会参与。鼓励、引导、支持社会力量通过承接政府购买服务、慈善捐赠以及提供志愿服务等方式，为特困人员提供服务和帮扶，形成全社会关心、支持、参与特困人员救助供养工作的良好氛围。</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二、制度内容</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（一）对象范围。</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城乡老年人、残疾人以及未满16周岁的未成年人，同时具备以下条件的，应当依法纳入特困人员救助供养范围：</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无劳动能力、无生活来源、无法定赡养抚养扶养义务人或者其法定义务人无履行义务能力。</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具体认定办法由民政部负责制定。</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（二）办理程序。</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终止程序。特困人员不再符合救助供养条件的，村（居）民委员会或者供养服务机构应当及时告知乡镇人民政府（街道办事处），由乡镇人民政府（街道办事处）审核并报县级人民政府民政部门核准后，终止救助供养并予以公示。</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（三）救助供养内容。</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特困人员救助供养主要包括以下内容：</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提供基本生活条件。包括供给粮油、副食品、生活用燃料、服装、被褥等日常生活用品和零用钱。可以通过实物或者现金的方式予以保障。</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对生活不能自理的给予照料。包括日常生活、住院期间的必要照料等基本服务。</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提供疾病治疗。全额资助参加城乡居民基本医疗保险的个人缴费部分。医疗费用按照基本医疗保险、大病保险和医疗救助等医疗保障制度规定支付后仍有不足的，由救助供养经费予以支持。</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办理丧葬事宜。特困人员死亡后的丧葬事宜，集中供养的由供养服务机构办理，分散供养的由乡镇人民政府（街道办事处）委托村（居）民委员会或者其亲属办理。丧葬费用从救助供养经费中支出。</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（四）救助供养标准。</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特困人员救助供养标准包括基本生活标准和照料护理标准。</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基本生活标准应当满足特困人员基本生活所需。照料护理标准应当根据特困人员生活自理能力和服务需求分类制定，体现差异性。</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（五）救助供养形式。</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特困人员救助供养形式分为在家分散供养和在当地的供养服务机构集中供养。具备生活自理能力的，鼓励其在家分散供养；完全或者部分丧失生活自理能力的，优先为其提供集中供养服务。</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分散供养。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集中供养。对需要集中供养的特困人员，由县级人民政府民政部门按照便于管理的原则，就近安排到相应的供养服务机构；未满16周岁的，安置到儿童福利机构。</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供养服务机构管理。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三、保障措施</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（一）加强组织领导。</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（二）做好制度衔接。</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（三）强化资金保障。</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（四）加强监督管理。</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（五）鼓励社会参与。</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（六）加强政策宣传。</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各地区、各有关部门要采用群众喜闻乐见的形式，大力宣传特困人员救助供养政策，不断提高社会知晓度，积极营造全社会关心关爱特困人员的良好氛围。</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民政部、财政部要加强对本意见执行情况的监督检查，重大情况及时向国务院报告。国务院将适时组织专项督查。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i w:val="0"/>
          <w:iCs w:val="0"/>
          <w:caps w:val="0"/>
          <w:color w:val="444444"/>
          <w:spacing w:val="0"/>
          <w:sz w:val="36"/>
          <w:szCs w:val="36"/>
          <w:shd w:val="clear" w:fill="FFFFFF"/>
        </w:rPr>
      </w:pPr>
      <w:r>
        <w:rPr>
          <w:rFonts w:hint="eastAsia" w:ascii="仿宋_GB2312" w:hAnsi="仿宋_GB2312" w:eastAsia="仿宋_GB2312" w:cs="仿宋_GB2312"/>
          <w:i w:val="0"/>
          <w:iCs w:val="0"/>
          <w:caps w:val="0"/>
          <w:color w:val="444444"/>
          <w:spacing w:val="0"/>
          <w:sz w:val="36"/>
          <w:szCs w:val="36"/>
          <w:shd w:val="clear" w:fill="FFFFFF"/>
        </w:rPr>
        <w:t>　　　　　　　　　　　　　　　　　　　　　　　　　　　　　　     国务院</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2016年2月10日</w:t>
      </w:r>
      <w:r>
        <w:rPr>
          <w:rFonts w:hint="eastAsia" w:ascii="仿宋_GB2312" w:hAnsi="仿宋_GB2312" w:eastAsia="仿宋_GB2312" w:cs="仿宋_GB2312"/>
          <w:i w:val="0"/>
          <w:iCs w:val="0"/>
          <w:caps w:val="0"/>
          <w:color w:val="444444"/>
          <w:spacing w:val="0"/>
          <w:sz w:val="36"/>
          <w:szCs w:val="36"/>
          <w:shd w:val="clear" w:fill="FFFFFF"/>
        </w:rPr>
        <w:br w:type="textWrapping"/>
      </w:r>
      <w:r>
        <w:rPr>
          <w:rFonts w:hint="eastAsia" w:ascii="仿宋_GB2312" w:hAnsi="仿宋_GB2312" w:eastAsia="仿宋_GB2312" w:cs="仿宋_GB2312"/>
          <w:i w:val="0"/>
          <w:iCs w:val="0"/>
          <w:caps w:val="0"/>
          <w:color w:val="444444"/>
          <w:spacing w:val="0"/>
          <w:sz w:val="36"/>
          <w:szCs w:val="36"/>
          <w:shd w:val="clear" w:fill="FFFFFF"/>
        </w:rPr>
        <w:t>　　（此件公开发布）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444444"/>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AzYzc1ZDJlMzk1NDY5NDllNTY0YWU1Yjg2ZWEifQ=="/>
  </w:docVars>
  <w:rsids>
    <w:rsidRoot w:val="00000000"/>
    <w:rsid w:val="7789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2022-08-15T02:51:58Z</dcterms:created>
  <dc:creator>Administrator</dc:creator>
  <cp:lastModifiedBy>阿毅</cp:lastModifiedBy>
  <dcterms:modified xsi:type="dcterms:W3CDTF">2022-08-15T02:54:51Z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F461DDA0F26941BFB082561C73A3E381</vt:lpwstr>
  </property>
</Properties>
</file>