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7E8F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</w:t>
      </w:r>
    </w:p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25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24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2484D5C3">
      <w:pPr>
        <w:spacing w:line="400" w:lineRule="exact"/>
        <w:jc w:val="center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jc w:val="center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许昌精细化工园区17号地局部地块控制性详细规划</w:t>
      </w:r>
    </w:p>
    <w:p w14:paraId="1D8C6135">
      <w:pPr>
        <w:ind w:firstLine="640" w:firstLineChars="200"/>
        <w:jc w:val="left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t>规划地块红线总内用地面积：78262平方米（</w:t>
      </w:r>
      <w:r>
        <w:rPr>
          <w:rFonts w:hint="default" w:ascii="Times New Roman" w:hAnsi="Times New Roman" w:cs="仿宋_GB2312"/>
          <w:lang w:val="en-US" w:eastAsia="zh-CN"/>
        </w:rPr>
        <w:t>117.4</w:t>
      </w:r>
      <w:r>
        <w:rPr>
          <w:rFonts w:hint="eastAsia" w:ascii="Times New Roman" w:hAnsi="Times New Roman" w:cs="仿宋_GB2312"/>
          <w:lang w:val="en-US" w:eastAsia="zh-CN"/>
        </w:rPr>
        <w:t xml:space="preserve">亩） </w:t>
      </w:r>
    </w:p>
    <w:p w14:paraId="21AA09DC">
      <w:pPr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Times New Roman" w:hAnsi="Times New Roman" w:cs="仿宋_GB2312"/>
          <w:lang w:val="en-US" w:eastAsia="zh-CN"/>
        </w:rPr>
        <w:t>绿线总内用地面积：</w:t>
      </w:r>
      <w:r>
        <w:rPr>
          <w:rFonts w:hint="default" w:ascii="Times New Roman" w:hAnsi="Times New Roman" w:cs="仿宋_GB2312"/>
          <w:lang w:val="en-US" w:eastAsia="zh-CN"/>
        </w:rPr>
        <w:t>69976</w:t>
      </w:r>
      <w:r>
        <w:rPr>
          <w:rFonts w:hint="eastAsia" w:ascii="Times New Roman" w:hAnsi="Times New Roman" w:cs="仿宋_GB2312"/>
          <w:lang w:val="en-US" w:eastAsia="zh-CN"/>
        </w:rPr>
        <w:t>平方米（</w:t>
      </w:r>
      <w:r>
        <w:rPr>
          <w:rFonts w:hint="default" w:ascii="Times New Roman" w:hAnsi="Times New Roman" w:cs="仿宋_GB2312"/>
          <w:lang w:val="en-US" w:eastAsia="zh-CN"/>
        </w:rPr>
        <w:t>105</w:t>
      </w:r>
      <w:r>
        <w:rPr>
          <w:rFonts w:hint="eastAsia" w:ascii="Times New Roman" w:hAnsi="Times New Roman" w:cs="仿宋_GB2312"/>
          <w:lang w:val="en-US" w:eastAsia="zh-CN"/>
        </w:rPr>
        <w:t xml:space="preserve">亩）其中： </w:t>
      </w:r>
      <w:r>
        <w:rPr>
          <w:rFonts w:hint="default" w:ascii="Times New Roman" w:hAnsi="Times New Roman" w:cs="仿宋_GB2312"/>
          <w:lang w:val="en-US" w:eastAsia="zh-CN"/>
        </w:rPr>
        <w:t>17-1</w:t>
      </w:r>
      <w:r>
        <w:rPr>
          <w:rFonts w:hint="eastAsia" w:ascii="Times New Roman" w:hAnsi="Times New Roman" w:cs="仿宋_GB2312"/>
          <w:lang w:val="en-US" w:eastAsia="zh-CN"/>
        </w:rPr>
        <w:t>号地块红线总内用地面积：</w:t>
      </w:r>
      <w:r>
        <w:rPr>
          <w:rFonts w:hint="default" w:ascii="Times New Roman" w:hAnsi="Times New Roman" w:cs="仿宋_GB2312"/>
          <w:lang w:val="en-US" w:eastAsia="zh-CN"/>
        </w:rPr>
        <w:t>53335</w:t>
      </w:r>
      <w:r>
        <w:rPr>
          <w:rFonts w:hint="eastAsia" w:ascii="Times New Roman" w:hAnsi="Times New Roman" w:cs="仿宋_GB2312"/>
          <w:lang w:val="en-US" w:eastAsia="zh-CN"/>
        </w:rPr>
        <w:t>平方米（</w:t>
      </w:r>
      <w:r>
        <w:rPr>
          <w:rFonts w:hint="default" w:ascii="Times New Roman" w:hAnsi="Times New Roman" w:cs="仿宋_GB2312"/>
          <w:lang w:val="en-US" w:eastAsia="zh-CN"/>
        </w:rPr>
        <w:t>80</w:t>
      </w:r>
      <w:r>
        <w:rPr>
          <w:rFonts w:hint="eastAsia" w:ascii="Times New Roman" w:hAnsi="Times New Roman" w:cs="仿宋_GB2312"/>
          <w:lang w:val="en-US" w:eastAsia="zh-CN"/>
        </w:rPr>
        <w:t>亩）绿线内用地面积：</w:t>
      </w:r>
      <w:r>
        <w:rPr>
          <w:rFonts w:hint="default" w:ascii="Times New Roman" w:hAnsi="Times New Roman" w:cs="仿宋_GB2312"/>
          <w:lang w:val="en-US" w:eastAsia="zh-CN"/>
        </w:rPr>
        <w:t>48407</w:t>
      </w:r>
      <w:r>
        <w:rPr>
          <w:rFonts w:hint="eastAsia" w:ascii="Times New Roman" w:hAnsi="Times New Roman" w:cs="仿宋_GB2312"/>
          <w:lang w:val="en-US" w:eastAsia="zh-CN"/>
        </w:rPr>
        <w:t>平方米（</w:t>
      </w:r>
      <w:r>
        <w:rPr>
          <w:rFonts w:hint="default" w:ascii="Times New Roman" w:hAnsi="Times New Roman" w:cs="仿宋_GB2312"/>
          <w:lang w:val="en-US" w:eastAsia="zh-CN"/>
        </w:rPr>
        <w:t>72.6</w:t>
      </w:r>
      <w:r>
        <w:rPr>
          <w:rFonts w:hint="eastAsia" w:ascii="Times New Roman" w:hAnsi="Times New Roman" w:cs="仿宋_GB2312"/>
          <w:lang w:val="en-US" w:eastAsia="zh-CN"/>
        </w:rPr>
        <w:t>亩），</w:t>
      </w:r>
      <w:r>
        <w:rPr>
          <w:rFonts w:hint="default" w:ascii="Times New Roman" w:hAnsi="Times New Roman" w:cs="仿宋_GB2312"/>
          <w:lang w:val="en-US" w:eastAsia="zh-CN"/>
        </w:rPr>
        <w:t>17-2</w:t>
      </w:r>
      <w:r>
        <w:rPr>
          <w:rFonts w:hint="eastAsia" w:ascii="Times New Roman" w:hAnsi="Times New Roman" w:cs="仿宋_GB2312"/>
          <w:lang w:val="en-US" w:eastAsia="zh-CN"/>
        </w:rPr>
        <w:t>号地块红线内用地面积：</w:t>
      </w:r>
      <w:r>
        <w:rPr>
          <w:rFonts w:hint="default" w:ascii="Times New Roman" w:hAnsi="Times New Roman" w:cs="仿宋_GB2312"/>
          <w:lang w:val="en-US" w:eastAsia="zh-CN"/>
        </w:rPr>
        <w:t>24927</w:t>
      </w:r>
      <w:r>
        <w:rPr>
          <w:rFonts w:hint="eastAsia" w:ascii="Times New Roman" w:hAnsi="Times New Roman" w:cs="仿宋_GB2312"/>
          <w:lang w:val="en-US" w:eastAsia="zh-CN"/>
        </w:rPr>
        <w:t>平方米（</w:t>
      </w:r>
      <w:r>
        <w:rPr>
          <w:rFonts w:hint="default" w:ascii="Times New Roman" w:hAnsi="Times New Roman" w:cs="仿宋_GB2312"/>
          <w:lang w:val="en-US" w:eastAsia="zh-CN"/>
        </w:rPr>
        <w:t>37.4</w:t>
      </w:r>
      <w:r>
        <w:rPr>
          <w:rFonts w:hint="eastAsia" w:ascii="Times New Roman" w:hAnsi="Times New Roman" w:cs="仿宋_GB2312"/>
          <w:lang w:val="en-US" w:eastAsia="zh-CN"/>
        </w:rPr>
        <w:t>亩），绿线总内用地面积：</w:t>
      </w:r>
      <w:r>
        <w:rPr>
          <w:rFonts w:hint="default" w:ascii="Times New Roman" w:hAnsi="Times New Roman" w:cs="仿宋_GB2312"/>
          <w:lang w:val="en-US" w:eastAsia="zh-CN"/>
        </w:rPr>
        <w:t>21569</w:t>
      </w:r>
      <w:r>
        <w:rPr>
          <w:rFonts w:hint="eastAsia" w:ascii="Times New Roman" w:hAnsi="Times New Roman" w:cs="仿宋_GB2312"/>
          <w:lang w:val="en-US" w:eastAsia="zh-CN"/>
        </w:rPr>
        <w:t>平方米（</w:t>
      </w:r>
      <w:r>
        <w:rPr>
          <w:rFonts w:hint="default" w:ascii="Times New Roman" w:hAnsi="Times New Roman" w:cs="仿宋_GB2312"/>
          <w:lang w:val="en-US" w:eastAsia="zh-CN"/>
        </w:rPr>
        <w:t>32.4</w:t>
      </w:r>
      <w:r>
        <w:rPr>
          <w:rFonts w:hint="eastAsia" w:ascii="Times New Roman" w:hAnsi="Times New Roman" w:cs="仿宋_GB2312"/>
          <w:lang w:val="en-US" w:eastAsia="zh-CN"/>
        </w:rPr>
        <w:t>亩），用地性质：工业用地 ，行业分类：化学原料及化学制品制造业，建筑限高：＞</w:t>
      </w:r>
      <w:r>
        <w:rPr>
          <w:rFonts w:hint="default" w:ascii="Times New Roman" w:hAnsi="Times New Roman" w:cs="仿宋_GB2312"/>
          <w:lang w:val="en-US" w:eastAsia="zh-CN"/>
        </w:rPr>
        <w:t>8</w:t>
      </w:r>
      <w:r>
        <w:rPr>
          <w:rFonts w:hint="eastAsia" w:ascii="Times New Roman" w:hAnsi="Times New Roman" w:cs="仿宋_GB2312"/>
          <w:lang w:val="en-US" w:eastAsia="zh-CN"/>
        </w:rPr>
        <w:t>米， 建筑系数：＞</w:t>
      </w:r>
      <w:r>
        <w:rPr>
          <w:rFonts w:hint="default" w:ascii="Times New Roman" w:hAnsi="Times New Roman" w:cs="仿宋_GB2312"/>
          <w:lang w:val="en-US" w:eastAsia="zh-CN"/>
        </w:rPr>
        <w:t xml:space="preserve">30% </w:t>
      </w:r>
      <w:r>
        <w:rPr>
          <w:rFonts w:hint="eastAsia" w:ascii="Times New Roman" w:hAnsi="Times New Roman" w:cs="仿宋_GB2312"/>
          <w:lang w:val="en-US" w:eastAsia="zh-CN"/>
        </w:rPr>
        <w:t>，容积率：＞</w:t>
      </w:r>
      <w:r>
        <w:rPr>
          <w:rFonts w:hint="default" w:ascii="Times New Roman" w:hAnsi="Times New Roman" w:cs="仿宋_GB2312"/>
          <w:lang w:val="en-US" w:eastAsia="zh-CN"/>
        </w:rPr>
        <w:t xml:space="preserve">0.6 </w:t>
      </w:r>
      <w:r>
        <w:rPr>
          <w:rFonts w:hint="eastAsia" w:ascii="Times New Roman" w:hAnsi="Times New Roman" w:cs="仿宋_GB2312"/>
          <w:lang w:val="en-US" w:eastAsia="zh-CN"/>
        </w:rPr>
        <w:t>，绿地率：</w:t>
      </w:r>
      <w:r>
        <w:rPr>
          <w:rFonts w:hint="default" w:ascii="Times New Roman" w:hAnsi="Times New Roman" w:cs="仿宋_GB2312"/>
          <w:lang w:val="en-US" w:eastAsia="zh-CN"/>
        </w:rPr>
        <w:t xml:space="preserve">≤20% </w:t>
      </w:r>
      <w:r>
        <w:rPr>
          <w:rFonts w:hint="eastAsia" w:ascii="Times New Roman" w:hAnsi="Times New Roman" w:cs="仿宋_GB2312"/>
          <w:lang w:val="en-US" w:eastAsia="zh-CN"/>
        </w:rPr>
        <w:t>，投资强度：</w:t>
      </w:r>
      <w:r>
        <w:rPr>
          <w:rFonts w:hint="default" w:ascii="Times New Roman" w:hAnsi="Times New Roman" w:cs="仿宋_GB2312"/>
          <w:lang w:val="en-US" w:eastAsia="zh-CN"/>
        </w:rPr>
        <w:t>≥2100</w:t>
      </w:r>
      <w:r>
        <w:rPr>
          <w:rFonts w:hint="eastAsia" w:ascii="Times New Roman" w:hAnsi="Times New Roman" w:cs="仿宋_GB2312"/>
          <w:lang w:val="en-US" w:eastAsia="zh-CN"/>
        </w:rPr>
        <w:t>万</w:t>
      </w:r>
      <w:r>
        <w:rPr>
          <w:rFonts w:hint="default" w:ascii="Times New Roman" w:hAnsi="Times New Roman" w:cs="仿宋_GB2312"/>
          <w:lang w:val="en-US" w:eastAsia="zh-CN"/>
        </w:rPr>
        <w:t>/</w:t>
      </w:r>
      <w:r>
        <w:rPr>
          <w:rFonts w:hint="eastAsia" w:ascii="Times New Roman" w:hAnsi="Times New Roman" w:cs="仿宋_GB2312"/>
          <w:lang w:val="en-US" w:eastAsia="zh-CN"/>
        </w:rPr>
        <w:t>公顷 机动车停车位：</w:t>
      </w:r>
      <w:r>
        <w:rPr>
          <w:rFonts w:hint="default" w:ascii="Times New Roman" w:hAnsi="Times New Roman" w:cs="仿宋_GB2312"/>
          <w:lang w:val="en-US" w:eastAsia="zh-CN"/>
        </w:rPr>
        <w:t>≥0.1</w:t>
      </w:r>
      <w:r>
        <w:rPr>
          <w:rFonts w:hint="eastAsia" w:ascii="Times New Roman" w:hAnsi="Times New Roman" w:cs="仿宋_GB2312"/>
          <w:lang w:val="en-US" w:eastAsia="zh-CN"/>
        </w:rPr>
        <w:t>车位</w:t>
      </w:r>
      <w:r>
        <w:rPr>
          <w:rFonts w:hint="default" w:ascii="Times New Roman" w:hAnsi="Times New Roman" w:cs="仿宋_GB2312"/>
          <w:lang w:val="en-US" w:eastAsia="zh-CN"/>
        </w:rPr>
        <w:t>/100</w:t>
      </w:r>
      <w:r>
        <w:rPr>
          <w:rFonts w:hint="eastAsia" w:ascii="Times New Roman" w:hAnsi="Times New Roman" w:cs="仿宋_GB2312"/>
          <w:lang w:val="en-US" w:eastAsia="zh-CN"/>
        </w:rPr>
        <w:t>平方米建筑面积。</w:t>
      </w: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4824153A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623730B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70500" cy="4444365"/>
            <wp:effectExtent l="0" t="0" r="6350" b="13335"/>
            <wp:docPr id="1" name="图片 1" descr="04.精细化工园区17号地块_t9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.精细化工园区17号地块_t9-Mode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4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05B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52CBE88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67135ED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3775673E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5499F5A4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7C0BB411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22A3D5F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F56494C"/>
    <w:rsid w:val="12BD7542"/>
    <w:rsid w:val="17DB4979"/>
    <w:rsid w:val="18DC000A"/>
    <w:rsid w:val="1A741B5A"/>
    <w:rsid w:val="1AB97CE2"/>
    <w:rsid w:val="1CE617B0"/>
    <w:rsid w:val="1D4631DD"/>
    <w:rsid w:val="20CB3AE1"/>
    <w:rsid w:val="2F1C5DF3"/>
    <w:rsid w:val="30ED2BC3"/>
    <w:rsid w:val="355A6B9C"/>
    <w:rsid w:val="357D0E2D"/>
    <w:rsid w:val="35E94AFA"/>
    <w:rsid w:val="3AB47816"/>
    <w:rsid w:val="49A2166A"/>
    <w:rsid w:val="49A64904"/>
    <w:rsid w:val="4D221AE1"/>
    <w:rsid w:val="541616C7"/>
    <w:rsid w:val="546B5460"/>
    <w:rsid w:val="577F29D6"/>
    <w:rsid w:val="5A484A1C"/>
    <w:rsid w:val="61607BDE"/>
    <w:rsid w:val="64B139F8"/>
    <w:rsid w:val="651B17E0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469</Characters>
  <Lines>2</Lines>
  <Paragraphs>1</Paragraphs>
  <TotalTime>1</TotalTime>
  <ScaleCrop>false</ScaleCrop>
  <LinksUpToDate>false</LinksUpToDate>
  <CharactersWithSpaces>478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2025-02-25T03:11:04Z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eyJoZGlkIjoiMzhhNDIyNjkxMDg0ODhkMWJkNTc0ODNhZTk2MTdmOGEifQ==</vt:lpwstr>
  </property>
</Properties>
</file>