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变更民族成份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15个工作日内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公民民族成份经确认登记后，一般不得变更。未满十八周岁的公民，有下列情况之一的，可以申请变更其民族成份一次。 1、父母婚姻关系发生变化，其民族成份与直接抚养的一方不同的； 2、父母婚姻关系发生变化，其民族成份与继父（母）的民族成份不同的； 3、其民族成份与养父（母）的民族成份不同的。 年满十八周岁的公民，在其年满十八周岁之日起的两年内，可以依据其父或者其母的民族成份申请变更一次。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 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办理流程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540" w:firstLineChars="200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户政窗口受理，核准后报县级和市级公安机关治安（户政）部门审批，户政窗口办结。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所需材料</w:t>
      </w:r>
    </w:p>
    <w:p>
      <w:r>
        <w:t>1、省辖市（省直管县）人民政府民族事务主管部门的《河南省公民变更民族成分审批意见书》；</w:t>
      </w:r>
      <w:r>
        <w:br w:type="textWrapping"/>
      </w:r>
      <w:r>
        <w:t>2、本人的居民身份证、居民户口簿；</w:t>
      </w:r>
      <w:r>
        <w:br w:type="textWrapping"/>
      </w:r>
      <w:r>
        <w:t>3、申请人书面申请；</w:t>
      </w:r>
      <w:r>
        <w:br w:type="textWrapping"/>
      </w:r>
      <w:r>
        <w:t>4、《河南省公民民族成份登记管理实施细则》中规定的其他材料。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3E843090"/>
    <w:rsid w:val="3E8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2023-11-21T07:45:00Z</dcterms:created>
  <dc:creator>86495</dc:creator>
  <cp:lastModifiedBy>86495</cp:lastModifiedBy>
  <dcterms:modified xsi:type="dcterms:W3CDTF">2023-11-21T07:45:34Z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22268DE4B1C24B1F81B5E0C57F4C88DA_11</vt:lpwstr>
  </property>
</Properties>
</file>