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F35DA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《建安区财政性资金投资项目管理</w:t>
      </w:r>
    </w:p>
    <w:p w14:paraId="746F7096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办法（试行）》起草说明</w:t>
      </w:r>
    </w:p>
    <w:p w14:paraId="24181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25F6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现就《建安区财政性资金投资项目管理办法（试行）》（以下简称《办法》）起草有关情况说明如下：</w:t>
      </w:r>
    </w:p>
    <w:p w14:paraId="56007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一、文件制定的必要性</w:t>
      </w:r>
    </w:p>
    <w:p w14:paraId="6915D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是落实上位法规政策的硬性要求。《政府投资条例》《河南省政府投资管理办法》《许昌市财政性资金投资项目管理办法》等国家、省、市法规文件，对政府投资项目全流程管控作出系统性规定，要求各县（区）结合本地实际细化配套管理制度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，亟须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出台统一规范性文件承接落实上级制度要求，确保全区项目管理工作合法合规。</w:t>
      </w:r>
    </w:p>
    <w:p w14:paraId="20ED8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二是提高财政资金使用效益、防范廉政风险的内在需要。制定本办法，明确投资限额分级审批、变更比例管控、造价评审、差异化抽审、重大项目专项监管等刚性约束，压实项目单位、行业主管部门、财政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计等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各方责任，从严遏制超标准建设、化整为零规避监管等行为，构建全过程投资管控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实现花钱必问效、无效必问责。</w:t>
      </w:r>
    </w:p>
    <w:p w14:paraId="29C4B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是压实全生命周期监管责任的制度需要。通过明晰各部门在项目谋划、计划编制、立项审批、造价评审、工程实施、竣工结算、监督追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责环节职责，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避免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多头管理、权责模糊、监管缺位问题，形成协同联动、惩防并举的项目管理格局。</w:t>
      </w:r>
    </w:p>
    <w:p w14:paraId="6F108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、需要说明的几个重点问题</w:t>
      </w:r>
    </w:p>
    <w:p w14:paraId="455CA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（一）关于《办法》适用范围</w:t>
      </w:r>
    </w:p>
    <w:p w14:paraId="78624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本办法管控对象为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各乡镇人民政府、各街道办事处、先进制造业开发区管委会、区直和驻区相关单位和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区属国有投资公司使用区级预算资金、上级专项资金、地方政府债券等财政性资金实施的三类项目：一是房屋、市政、交通等基本建设类；二是政务软硬件、云运维等政务信息化类；三是设备购置、规划测绘、政府购买服务类项目。纯社会资本自筹项目不适用，实现所有财政资金投资项目全覆盖。</w:t>
      </w:r>
    </w:p>
    <w:p w14:paraId="2E551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（二）关于核心量化管控标准设置</w:t>
      </w:r>
    </w:p>
    <w:p w14:paraId="3E61E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分级决策限额：30 万元以下由单位集体决策；30 万元（含）至 400 万元需财政评审、进场招标、纪检报备；400 万元（含）以上增加专家论证；400 万 —1000 万元需区长办公会审定；1000 万元（含）以上须区政府常务会审议。</w:t>
      </w:r>
    </w:p>
    <w:p w14:paraId="27083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预算评审门槛：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基本建设项目和政务信息化项目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30 万元及以上项目必须开展财政预算评审，区属国企 400 万元及以上基建项目强制评审；评审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结论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出具 6 个月内须完成招投标，逾期重新评审。</w:t>
      </w:r>
    </w:p>
    <w:p w14:paraId="40CF3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工程变更管控：变更总额严格控制在合同价 8% 以内；变更增额 20 万元以下由分管、常务副区长审批，20 万元以上报区长办公会 / 常务会；超概算执行 “先定责、再追责、后调整概算”；EPC 项目除政策、不可抗力外原则不予变更。</w:t>
      </w:r>
    </w:p>
    <w:p w14:paraId="07E1B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（三）关于重大项目专项监管</w:t>
      </w:r>
    </w:p>
    <w:p w14:paraId="37D99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总投资 5000 万元以上基础设施、民生类重大项目，额外执行前期多部门会审、全过程造价咨询、关键节点 5 个工作日内向派驻纪检监察组报备、引入人大政协社会监督、审计全程跟踪等监管措施，符合条件的医院、学校等大额非经营性项目可实行集中代建模式。</w:t>
      </w:r>
    </w:p>
    <w:p w14:paraId="1E17C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（四）关于简化审批情形</w:t>
      </w:r>
    </w:p>
    <w:p w14:paraId="418ED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针对 1000 万元以下小型简单项目、规划内项目、房建购置、单纯设备采购、应急抢险项目设置简化审批流程；应急项目可先行实施，但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须在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1 个月内补齐全部审批手续，。</w:t>
      </w:r>
    </w:p>
    <w:p w14:paraId="47E41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（五）关于责任追究机制</w:t>
      </w:r>
    </w:p>
    <w:p w14:paraId="64118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明确未评先招、未批先建、违规变更、围标串标、违法分包、挪用资金等各类违规情形处置流程，区分限期整改、全区通报、移交纪检监察、移送司法四级处置标准，同时对恶意投诉、阻挠项目正常施工行为明确处置路径。</w:t>
      </w:r>
    </w:p>
    <w:p w14:paraId="7CE2D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（六）关于新旧制度衔接</w:t>
      </w:r>
    </w:p>
    <w:p w14:paraId="7609F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本办法正式印发后，我区此前出台的各类政府投资单项管理规定同步废止；国家、省、市及交通、水利等行业上级另有专项规定的，按照 “上位规定优先” 原则执行，各行业主管部门可依据本办法配套制定行业实施细则。</w:t>
      </w:r>
    </w:p>
    <w:p w14:paraId="7B351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（七）动态完善机制</w:t>
      </w:r>
    </w:p>
    <w:p w14:paraId="5B745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办法实施后，结合年度审计、财政督查、项目实施中暴露的新问题，根据上级新出台法规政策适时组织评估、修订完善相关条款，持续优化全区财政性资金项目管理制度。</w:t>
      </w:r>
    </w:p>
    <w:p w14:paraId="18BB2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EE56C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建安区财政局  </w:t>
      </w:r>
    </w:p>
    <w:p w14:paraId="382F5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2026年6月1日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1354A02B-0327-4FB2-BD60-2DE577A0C13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B02FA30-B0A0-4586-906A-22BAEB240F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097481"/>
    <w:rsid w:val="0A2C39C3"/>
    <w:rsid w:val="0D1462EF"/>
    <w:rsid w:val="14097481"/>
    <w:rsid w:val="1D6372A4"/>
    <w:rsid w:val="1DF53561"/>
    <w:rsid w:val="3C134B7B"/>
    <w:rsid w:val="40C71A35"/>
    <w:rsid w:val="5FF7446A"/>
    <w:rsid w:val="66A01837"/>
    <w:rsid w:val="72210161"/>
    <w:rsid w:val="766E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1497</Words>
  <Characters>1528</Characters>
  <Lines>0</Lines>
  <Paragraphs>0</Paragraphs>
  <TotalTime>26</TotalTime>
  <ScaleCrop>false</ScaleCrop>
  <LinksUpToDate>false</LinksUpToDate>
  <CharactersWithSpaces>1563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2026-08-17T04:15:00Z</dcterms:created>
  <dc:creator>暮语星宸</dc:creator>
  <cp:lastModifiedBy>暮语星宸</cp:lastModifiedBy>
  <cp:lastPrinted>2026-10-15T03:26:00Z</cp:lastPrinted>
  <dcterms:modified xsi:type="dcterms:W3CDTF">2026-10-20T02:04:06Z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80609274CE8246FFBD097B8D636941F6_11</vt:lpwstr>
  </property>
  <property fmtid="{D5CDD505-2E9C-101B-9397-08002B2CF9AE}" pid="4" name="KSOTemplateDocerSaveRecord">
    <vt:lpwstr>eyJoZGlkIjoiMGJiNjc2N2U0MjM2MWJlNGJlM2QxNGFkNmU3MDRmZjEiLCJ1c2VySWQiOiI0MzM2Mzc3NDEifQ==</vt:lpwstr>
  </property>
</Properties>
</file>